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769F4" w14:textId="77777777" w:rsidR="00D76103" w:rsidRPr="00717AA9" w:rsidRDefault="009044A4">
      <w:pPr>
        <w:pStyle w:val="Standard"/>
      </w:pPr>
      <w:r w:rsidRPr="00717AA9">
        <w:t>Andmekaitse Inspektsioon</w:t>
      </w:r>
    </w:p>
    <w:p w14:paraId="40687E65" w14:textId="77777777" w:rsidR="00D76103" w:rsidRPr="00717AA9" w:rsidRDefault="008346F7">
      <w:pPr>
        <w:pStyle w:val="Standard"/>
      </w:pPr>
      <w:r w:rsidRPr="00717AA9">
        <w:t>Tatari 39</w:t>
      </w:r>
    </w:p>
    <w:p w14:paraId="03C5D0D9" w14:textId="77777777" w:rsidR="00D76103" w:rsidRPr="00717AA9" w:rsidRDefault="008346F7">
      <w:pPr>
        <w:pStyle w:val="Standard"/>
      </w:pPr>
      <w:r w:rsidRPr="00717AA9">
        <w:t>Tallinn 10134</w:t>
      </w:r>
    </w:p>
    <w:p w14:paraId="56E9B460" w14:textId="77777777" w:rsidR="00D76103" w:rsidRPr="00717AA9" w:rsidRDefault="009044A4">
      <w:pPr>
        <w:pStyle w:val="Standard"/>
      </w:pPr>
      <w:r w:rsidRPr="00717AA9">
        <w:tab/>
      </w:r>
      <w:r w:rsidRPr="00717AA9">
        <w:tab/>
      </w:r>
      <w:r w:rsidRPr="00717AA9">
        <w:tab/>
      </w:r>
      <w:r w:rsidRPr="00717AA9">
        <w:tab/>
      </w:r>
      <w:r w:rsidRPr="00717AA9">
        <w:tab/>
      </w:r>
      <w:r w:rsidRPr="00717AA9">
        <w:tab/>
      </w:r>
      <w:r w:rsidRPr="00717AA9">
        <w:tab/>
      </w:r>
      <w:r w:rsidRPr="00717AA9">
        <w:tab/>
      </w:r>
      <w:r w:rsidRPr="00717AA9">
        <w:tab/>
      </w:r>
      <w:r w:rsidRPr="00717AA9">
        <w:tab/>
        <w:t>_____________________</w:t>
      </w:r>
    </w:p>
    <w:p w14:paraId="5EB9B2C5" w14:textId="77777777" w:rsidR="00D76103" w:rsidRPr="00717AA9" w:rsidRDefault="009044A4">
      <w:pPr>
        <w:pStyle w:val="Standard"/>
        <w:jc w:val="right"/>
        <w:rPr>
          <w:i/>
          <w:iCs/>
          <w:sz w:val="18"/>
          <w:szCs w:val="18"/>
        </w:rPr>
      </w:pPr>
      <w:r w:rsidRPr="00717AA9">
        <w:rPr>
          <w:i/>
          <w:iCs/>
          <w:sz w:val="18"/>
          <w:szCs w:val="18"/>
        </w:rPr>
        <w:t>(taotluse esitaja)</w:t>
      </w:r>
    </w:p>
    <w:p w14:paraId="150C1EFD" w14:textId="77777777" w:rsidR="00D76103" w:rsidRPr="00717AA9" w:rsidRDefault="00D76103">
      <w:pPr>
        <w:pStyle w:val="Standard"/>
      </w:pPr>
    </w:p>
    <w:p w14:paraId="0D0D8736" w14:textId="77777777" w:rsidR="00F27D21" w:rsidRPr="00717AA9" w:rsidRDefault="00F27D21">
      <w:pPr>
        <w:pStyle w:val="Standard"/>
        <w:jc w:val="center"/>
        <w:rPr>
          <w:b/>
          <w:bCs/>
        </w:rPr>
      </w:pPr>
    </w:p>
    <w:p w14:paraId="5B08D80A" w14:textId="77777777" w:rsidR="00F27D21" w:rsidRPr="00717AA9" w:rsidRDefault="00F27D21">
      <w:pPr>
        <w:pStyle w:val="Standard"/>
        <w:jc w:val="center"/>
        <w:rPr>
          <w:b/>
          <w:bCs/>
        </w:rPr>
      </w:pPr>
    </w:p>
    <w:p w14:paraId="7D54E506" w14:textId="77777777" w:rsidR="00D76103" w:rsidRPr="00717AA9" w:rsidRDefault="009044A4">
      <w:pPr>
        <w:pStyle w:val="Standard"/>
        <w:jc w:val="center"/>
        <w:rPr>
          <w:b/>
          <w:bCs/>
        </w:rPr>
      </w:pPr>
      <w:r w:rsidRPr="00717AA9">
        <w:rPr>
          <w:b/>
          <w:bCs/>
        </w:rPr>
        <w:t>TAOTLUS ISIKUANDMETE TÖÖTLEMISEKS TEADUSUURINGUS</w:t>
      </w:r>
    </w:p>
    <w:p w14:paraId="3CE31EE0" w14:textId="77777777" w:rsidR="00D76103" w:rsidRPr="00717AA9" w:rsidRDefault="00D76103">
      <w:pPr>
        <w:pStyle w:val="Standard"/>
        <w:rPr>
          <w:b/>
          <w:bCs/>
        </w:rPr>
      </w:pPr>
    </w:p>
    <w:p w14:paraId="70244F6A" w14:textId="77777777" w:rsidR="00D76103" w:rsidRPr="00717AA9" w:rsidRDefault="00D76103">
      <w:pPr>
        <w:pStyle w:val="Standard"/>
        <w:rPr>
          <w:b/>
          <w:bCs/>
        </w:rPr>
      </w:pPr>
    </w:p>
    <w:p w14:paraId="3C077FC2" w14:textId="77777777" w:rsidR="00D76103" w:rsidRPr="00717AA9" w:rsidRDefault="009044A4">
      <w:pPr>
        <w:pStyle w:val="Standard"/>
        <w:spacing w:line="360" w:lineRule="auto"/>
        <w:rPr>
          <w:b/>
          <w:bCs/>
        </w:rPr>
      </w:pPr>
      <w:r w:rsidRPr="00717AA9">
        <w:rPr>
          <w:b/>
          <w:bCs/>
        </w:rPr>
        <w:t>Juhindudes isikuandme</w:t>
      </w:r>
      <w:r w:rsidR="00517FD7" w:rsidRPr="00717AA9">
        <w:rPr>
          <w:b/>
          <w:bCs/>
        </w:rPr>
        <w:t>te kaitse seaduse</w:t>
      </w:r>
      <w:r w:rsidR="000C3BFC" w:rsidRPr="00717AA9">
        <w:rPr>
          <w:b/>
          <w:bCs/>
        </w:rPr>
        <w:t xml:space="preserve"> (IKS)</w:t>
      </w:r>
      <w:r w:rsidR="00517FD7" w:rsidRPr="00717AA9">
        <w:rPr>
          <w:b/>
          <w:bCs/>
        </w:rPr>
        <w:t xml:space="preserve"> paragrahvis 6</w:t>
      </w:r>
      <w:r w:rsidRPr="00717AA9">
        <w:rPr>
          <w:b/>
          <w:bCs/>
        </w:rPr>
        <w:t xml:space="preserve"> sätestatust palun</w:t>
      </w:r>
      <w:r w:rsidR="0041401E" w:rsidRPr="00717AA9">
        <w:rPr>
          <w:b/>
          <w:bCs/>
        </w:rPr>
        <w:t xml:space="preserve"> kooskõlastada</w:t>
      </w:r>
    </w:p>
    <w:p w14:paraId="06BCFED6" w14:textId="77777777" w:rsidR="008E0606" w:rsidRPr="00717AA9" w:rsidRDefault="008E0606">
      <w:pPr>
        <w:pStyle w:val="Standard"/>
        <w:spacing w:line="360" w:lineRule="auto"/>
        <w:rPr>
          <w:b/>
          <w:bCs/>
        </w:rPr>
      </w:pPr>
    </w:p>
    <w:tbl>
      <w:tblPr>
        <w:tblStyle w:val="TableGrid"/>
        <w:tblW w:w="0" w:type="auto"/>
        <w:tblLook w:val="04A0" w:firstRow="1" w:lastRow="0" w:firstColumn="1" w:lastColumn="0" w:noHBand="0" w:noVBand="1"/>
      </w:tblPr>
      <w:tblGrid>
        <w:gridCol w:w="2122"/>
        <w:gridCol w:w="7506"/>
      </w:tblGrid>
      <w:tr w:rsidR="0041401E" w:rsidRPr="00717AA9" w14:paraId="4203E393" w14:textId="77777777" w:rsidTr="00614698">
        <w:tc>
          <w:tcPr>
            <w:tcW w:w="2122" w:type="dxa"/>
          </w:tcPr>
          <w:p w14:paraId="1B89048D" w14:textId="77777777" w:rsidR="0041401E" w:rsidRPr="00717AA9" w:rsidRDefault="0041401E">
            <w:pPr>
              <w:pStyle w:val="Standard"/>
              <w:spacing w:line="360" w:lineRule="auto"/>
              <w:rPr>
                <w:b/>
                <w:bCs/>
              </w:rPr>
            </w:pPr>
            <w:r w:rsidRPr="00717AA9">
              <w:rPr>
                <w:b/>
                <w:bCs/>
              </w:rPr>
              <w:t xml:space="preserve">Uuringu </w:t>
            </w:r>
            <w:r w:rsidR="00614698" w:rsidRPr="00717AA9">
              <w:rPr>
                <w:b/>
                <w:bCs/>
              </w:rPr>
              <w:t>pealkiri</w:t>
            </w:r>
          </w:p>
        </w:tc>
        <w:tc>
          <w:tcPr>
            <w:tcW w:w="7506" w:type="dxa"/>
          </w:tcPr>
          <w:p w14:paraId="72806086" w14:textId="77777777" w:rsidR="0041401E" w:rsidRPr="00717AA9" w:rsidRDefault="00356BB9">
            <w:pPr>
              <w:pStyle w:val="Standard"/>
              <w:spacing w:line="360" w:lineRule="auto"/>
              <w:rPr>
                <w:b/>
                <w:bCs/>
              </w:rPr>
            </w:pPr>
            <w:r w:rsidRPr="00356BB9">
              <w:rPr>
                <w:b/>
                <w:bCs/>
              </w:rPr>
              <w:t>Õhusaaste ja haigestumise vaheliste seoste analüüs ning ülevaate koostamine teistes riikides rakendatud hoiatussüsteemidest</w:t>
            </w:r>
          </w:p>
        </w:tc>
      </w:tr>
    </w:tbl>
    <w:p w14:paraId="2A3E51A6" w14:textId="77777777" w:rsidR="0041401E" w:rsidRPr="00717AA9" w:rsidRDefault="0041401E">
      <w:pPr>
        <w:pStyle w:val="Standard"/>
      </w:pPr>
    </w:p>
    <w:tbl>
      <w:tblPr>
        <w:tblStyle w:val="TableGrid"/>
        <w:tblW w:w="0" w:type="auto"/>
        <w:tblLook w:val="04A0" w:firstRow="1" w:lastRow="0" w:firstColumn="1" w:lastColumn="0" w:noHBand="0" w:noVBand="1"/>
      </w:tblPr>
      <w:tblGrid>
        <w:gridCol w:w="6799"/>
        <w:gridCol w:w="2829"/>
      </w:tblGrid>
      <w:tr w:rsidR="00717AA9" w:rsidRPr="00717AA9" w14:paraId="5F33D2F7" w14:textId="77777777" w:rsidTr="00B625FA">
        <w:tc>
          <w:tcPr>
            <w:tcW w:w="6799" w:type="dxa"/>
          </w:tcPr>
          <w:p w14:paraId="33CF1F94" w14:textId="77777777" w:rsidR="008E1057" w:rsidRPr="00717AA9" w:rsidRDefault="00614698" w:rsidP="008E1057">
            <w:pPr>
              <w:pStyle w:val="Standard"/>
            </w:pPr>
            <w:r w:rsidRPr="00717AA9">
              <w:t>Kas p</w:t>
            </w:r>
            <w:r w:rsidR="008E1057" w:rsidRPr="00717AA9">
              <w:t>oliitika kujundamise uuring (IKS § 6 lg 5)</w:t>
            </w:r>
            <w:r w:rsidR="00B625FA" w:rsidRPr="00717AA9">
              <w:t xml:space="preserve">                    või</w:t>
            </w:r>
          </w:p>
        </w:tc>
        <w:tc>
          <w:tcPr>
            <w:tcW w:w="2829" w:type="dxa"/>
          </w:tcPr>
          <w:p w14:paraId="2BFB352D" w14:textId="77777777" w:rsidR="008E1057" w:rsidRPr="00717AA9" w:rsidRDefault="00157B42" w:rsidP="008E1057">
            <w:pPr>
              <w:pStyle w:val="Standard"/>
            </w:pPr>
            <w:r>
              <w:t>Jah</w:t>
            </w:r>
          </w:p>
        </w:tc>
      </w:tr>
      <w:tr w:rsidR="00717AA9" w:rsidRPr="00717AA9" w14:paraId="64AFF8B5" w14:textId="77777777" w:rsidTr="00B625FA">
        <w:tc>
          <w:tcPr>
            <w:tcW w:w="6799" w:type="dxa"/>
          </w:tcPr>
          <w:p w14:paraId="623142D7" w14:textId="77777777" w:rsidR="008E1057" w:rsidRPr="00717AA9" w:rsidRDefault="00614698" w:rsidP="008E1057">
            <w:pPr>
              <w:pStyle w:val="Standard"/>
            </w:pPr>
            <w:r w:rsidRPr="00717AA9">
              <w:t>u</w:t>
            </w:r>
            <w:r w:rsidR="176F0595" w:rsidRPr="00717AA9">
              <w:t>uring hõlmab eriliigilisi isikuandmeid ja puudub valdkondlik eetikakomitee (IKS § 6 lg 4)</w:t>
            </w:r>
          </w:p>
        </w:tc>
        <w:tc>
          <w:tcPr>
            <w:tcW w:w="2829" w:type="dxa"/>
          </w:tcPr>
          <w:p w14:paraId="16DE2EA4" w14:textId="77777777" w:rsidR="008E1057" w:rsidRPr="00717AA9" w:rsidRDefault="004648FC" w:rsidP="008E1057">
            <w:pPr>
              <w:pStyle w:val="Standard"/>
            </w:pPr>
            <w:r w:rsidRPr="00717AA9">
              <w:t>Ei</w:t>
            </w:r>
          </w:p>
        </w:tc>
      </w:tr>
      <w:tr w:rsidR="00717AA9" w:rsidRPr="00717AA9" w14:paraId="69539535" w14:textId="77777777">
        <w:tc>
          <w:tcPr>
            <w:tcW w:w="9628" w:type="dxa"/>
            <w:gridSpan w:val="2"/>
          </w:tcPr>
          <w:p w14:paraId="4DE51B42" w14:textId="77777777" w:rsidR="00B625FA" w:rsidRPr="00717AA9" w:rsidRDefault="00F27D21" w:rsidP="176F0595">
            <w:pPr>
              <w:pStyle w:val="Standard"/>
              <w:rPr>
                <w:i/>
                <w:iCs/>
                <w:sz w:val="16"/>
                <w:szCs w:val="16"/>
              </w:rPr>
            </w:pPr>
            <w:r w:rsidRPr="00717AA9">
              <w:rPr>
                <w:i/>
                <w:iCs/>
                <w:sz w:val="18"/>
                <w:szCs w:val="18"/>
              </w:rPr>
              <w:t>Palu</w:t>
            </w:r>
            <w:r w:rsidR="00307D93" w:rsidRPr="00717AA9">
              <w:rPr>
                <w:i/>
                <w:iCs/>
                <w:sz w:val="18"/>
                <w:szCs w:val="18"/>
              </w:rPr>
              <w:t>me</w:t>
            </w:r>
            <w:r w:rsidRPr="00717AA9">
              <w:rPr>
                <w:i/>
                <w:iCs/>
                <w:sz w:val="18"/>
                <w:szCs w:val="18"/>
              </w:rPr>
              <w:t xml:space="preserve"> eelmise kahe lahtri puhul valida üks</w:t>
            </w:r>
            <w:r w:rsidR="00307D93" w:rsidRPr="00717AA9">
              <w:rPr>
                <w:i/>
                <w:iCs/>
                <w:sz w:val="18"/>
                <w:szCs w:val="18"/>
              </w:rPr>
              <w:t xml:space="preserve"> vastavalt õiguslikule alusele</w:t>
            </w:r>
            <w:r w:rsidRPr="00717AA9">
              <w:rPr>
                <w:i/>
                <w:iCs/>
                <w:sz w:val="18"/>
                <w:szCs w:val="18"/>
              </w:rPr>
              <w:t xml:space="preserve">, v.a olukorras, </w:t>
            </w:r>
            <w:r w:rsidR="00614698" w:rsidRPr="00717AA9">
              <w:rPr>
                <w:i/>
                <w:iCs/>
                <w:sz w:val="18"/>
                <w:szCs w:val="18"/>
              </w:rPr>
              <w:t>kui</w:t>
            </w:r>
            <w:r w:rsidRPr="00717AA9">
              <w:rPr>
                <w:i/>
                <w:iCs/>
                <w:sz w:val="18"/>
                <w:szCs w:val="18"/>
              </w:rPr>
              <w:t xml:space="preserve"> poliitika kujundamise uuringu puhul puudub valdkondlik eetikakomitee. Kui </w:t>
            </w:r>
            <w:r w:rsidR="002E7BB7" w:rsidRPr="00717AA9">
              <w:rPr>
                <w:i/>
                <w:iCs/>
                <w:sz w:val="18"/>
                <w:szCs w:val="18"/>
              </w:rPr>
              <w:t xml:space="preserve">poliitika kujundamise </w:t>
            </w:r>
            <w:r w:rsidRPr="00717AA9">
              <w:rPr>
                <w:i/>
                <w:iCs/>
                <w:sz w:val="18"/>
                <w:szCs w:val="18"/>
              </w:rPr>
              <w:t>uuringus töödeldakse eriliiki isikuandmeid, siis täita</w:t>
            </w:r>
            <w:r w:rsidR="002E7BB7" w:rsidRPr="00717AA9">
              <w:rPr>
                <w:i/>
                <w:iCs/>
                <w:sz w:val="18"/>
                <w:szCs w:val="18"/>
              </w:rPr>
              <w:t xml:space="preserve"> ka</w:t>
            </w:r>
            <w:r w:rsidRPr="00717AA9">
              <w:rPr>
                <w:i/>
                <w:iCs/>
                <w:sz w:val="18"/>
                <w:szCs w:val="18"/>
              </w:rPr>
              <w:t xml:space="preserve"> eetikakomitee otsuse lahter</w:t>
            </w:r>
            <w:r w:rsidR="00307D93" w:rsidRPr="00717AA9">
              <w:rPr>
                <w:i/>
                <w:iCs/>
                <w:sz w:val="16"/>
                <w:szCs w:val="16"/>
              </w:rPr>
              <w:t>.</w:t>
            </w:r>
          </w:p>
        </w:tc>
      </w:tr>
      <w:tr w:rsidR="00717AA9" w:rsidRPr="00717AA9" w14:paraId="3C3095A8" w14:textId="77777777" w:rsidTr="00356BB9">
        <w:trPr>
          <w:trHeight w:val="2042"/>
        </w:trPr>
        <w:tc>
          <w:tcPr>
            <w:tcW w:w="6799" w:type="dxa"/>
          </w:tcPr>
          <w:p w14:paraId="468FF11D" w14:textId="77777777" w:rsidR="000C3BFC" w:rsidRPr="00717AA9" w:rsidRDefault="00614698" w:rsidP="008E1057">
            <w:pPr>
              <w:pStyle w:val="Standard"/>
            </w:pPr>
            <w:r w:rsidRPr="00717AA9">
              <w:t>Kas i</w:t>
            </w:r>
            <w:r w:rsidR="008E1057" w:rsidRPr="00717AA9">
              <w:t>sikuandmete töötleja on määranud andmekaitsespetsialisti (sh tema nimi ja kontakt</w:t>
            </w:r>
            <w:r w:rsidR="00B4159C" w:rsidRPr="00717AA9">
              <w:t>andmed</w:t>
            </w:r>
            <w:r w:rsidR="008E1057" w:rsidRPr="00717AA9">
              <w:t>)</w:t>
            </w:r>
            <w:r w:rsidRPr="00717AA9">
              <w:t>?</w:t>
            </w:r>
          </w:p>
        </w:tc>
        <w:tc>
          <w:tcPr>
            <w:tcW w:w="2829" w:type="dxa"/>
          </w:tcPr>
          <w:p w14:paraId="1B21BDBA" w14:textId="77777777" w:rsidR="00C562C9" w:rsidRPr="00717AA9" w:rsidRDefault="00A34C7E" w:rsidP="00C562C9">
            <w:pPr>
              <w:pStyle w:val="Standard"/>
            </w:pPr>
            <w:r w:rsidRPr="00717AA9">
              <w:t xml:space="preserve">Tartu Ülikooli andmekaitsespetsialist, </w:t>
            </w:r>
            <w:hyperlink r:id="rId13" w:history="1">
              <w:r w:rsidR="00C562C9" w:rsidRPr="00717AA9">
                <w:rPr>
                  <w:rStyle w:val="Hyperlink"/>
                  <w:color w:val="auto"/>
                  <w:u w:val="none"/>
                </w:rPr>
                <w:t>andmekaitse@ut.ee</w:t>
              </w:r>
            </w:hyperlink>
            <w:r w:rsidR="00C562C9" w:rsidRPr="00717AA9">
              <w:t xml:space="preserve">. Tartu Ülikooli </w:t>
            </w:r>
          </w:p>
          <w:p w14:paraId="78785A64" w14:textId="77777777" w:rsidR="008E1057" w:rsidRPr="00717AA9" w:rsidRDefault="00C562C9" w:rsidP="00C562C9">
            <w:pPr>
              <w:pStyle w:val="Standard"/>
            </w:pPr>
            <w:r w:rsidRPr="00717AA9">
              <w:t>meditsiiniteaduste valdkonna andmekaitse spetsialist on Priit Piir.</w:t>
            </w:r>
          </w:p>
        </w:tc>
      </w:tr>
      <w:tr w:rsidR="00717AA9" w:rsidRPr="00717AA9" w14:paraId="210B7B58" w14:textId="77777777" w:rsidTr="00B625FA">
        <w:tc>
          <w:tcPr>
            <w:tcW w:w="6799" w:type="dxa"/>
          </w:tcPr>
          <w:p w14:paraId="2EEA1417" w14:textId="77777777" w:rsidR="008E1057" w:rsidRPr="00717AA9" w:rsidRDefault="00614698" w:rsidP="008E1057">
            <w:pPr>
              <w:pStyle w:val="Standard"/>
            </w:pPr>
            <w:r w:rsidRPr="00717AA9">
              <w:t>Kas on olemas e</w:t>
            </w:r>
            <w:r w:rsidR="008E1057" w:rsidRPr="00717AA9">
              <w:t>etikakomitee otsus</w:t>
            </w:r>
            <w:r w:rsidR="00B34316" w:rsidRPr="00717AA9">
              <w:rPr>
                <w:rStyle w:val="FootnoteReference"/>
              </w:rPr>
              <w:footnoteReference w:id="1"/>
            </w:r>
            <w:r w:rsidRPr="00717AA9">
              <w:t>?</w:t>
            </w:r>
          </w:p>
          <w:p w14:paraId="651189D3" w14:textId="77777777" w:rsidR="00B34316" w:rsidRPr="00717AA9" w:rsidRDefault="00B4159C" w:rsidP="008E1057">
            <w:pPr>
              <w:pStyle w:val="Standard"/>
              <w:rPr>
                <w:i/>
                <w:iCs/>
                <w:sz w:val="18"/>
                <w:szCs w:val="18"/>
              </w:rPr>
            </w:pPr>
            <w:r w:rsidRPr="00717AA9">
              <w:rPr>
                <w:i/>
                <w:iCs/>
                <w:sz w:val="18"/>
                <w:szCs w:val="18"/>
              </w:rPr>
              <w:t xml:space="preserve">Kooskõlastuse olemasolul lisada see taotlusele. </w:t>
            </w:r>
          </w:p>
        </w:tc>
        <w:tc>
          <w:tcPr>
            <w:tcW w:w="2829" w:type="dxa"/>
          </w:tcPr>
          <w:p w14:paraId="6CE14AD4" w14:textId="77777777" w:rsidR="008E1057" w:rsidRPr="00717AA9" w:rsidRDefault="008E1057" w:rsidP="008E1057">
            <w:pPr>
              <w:pStyle w:val="Standard"/>
            </w:pPr>
          </w:p>
          <w:p w14:paraId="1A00856E" w14:textId="77777777" w:rsidR="000C3BFC" w:rsidRPr="00717AA9" w:rsidRDefault="009029C7" w:rsidP="008E1057">
            <w:pPr>
              <w:pStyle w:val="Standard"/>
            </w:pPr>
            <w:r>
              <w:t>Jah, eetikakomitee luba on olemas</w:t>
            </w:r>
          </w:p>
        </w:tc>
      </w:tr>
      <w:tr w:rsidR="00B625FA" w:rsidRPr="00717AA9" w14:paraId="3EAC050B" w14:textId="77777777" w:rsidTr="00B625FA">
        <w:tc>
          <w:tcPr>
            <w:tcW w:w="6799" w:type="dxa"/>
          </w:tcPr>
          <w:p w14:paraId="5087A327" w14:textId="77777777" w:rsidR="00B625FA" w:rsidRPr="00717AA9" w:rsidRDefault="00614698" w:rsidP="008E1057">
            <w:pPr>
              <w:pStyle w:val="Standard"/>
            </w:pPr>
            <w:r w:rsidRPr="00717AA9">
              <w:t>Kas o</w:t>
            </w:r>
            <w:r w:rsidR="00B625FA" w:rsidRPr="00717AA9">
              <w:t>sa uuringust toimub andmesubjekti nõusoleku alusel</w:t>
            </w:r>
            <w:r w:rsidRPr="00717AA9">
              <w:t>?</w:t>
            </w:r>
          </w:p>
          <w:p w14:paraId="7E8AF43E" w14:textId="77777777" w:rsidR="00B625FA" w:rsidRPr="00717AA9" w:rsidRDefault="00B625FA" w:rsidP="008E1057">
            <w:pPr>
              <w:pStyle w:val="Standard"/>
              <w:rPr>
                <w:rFonts w:ascii="Times New Roman" w:hAnsi="Times New Roman" w:cs="Times New Roman"/>
                <w:i/>
                <w:iCs/>
                <w:sz w:val="18"/>
                <w:szCs w:val="18"/>
              </w:rPr>
            </w:pPr>
            <w:r w:rsidRPr="00717AA9">
              <w:rPr>
                <w:rFonts w:ascii="Times New Roman" w:hAnsi="Times New Roman" w:cs="Times New Roman"/>
                <w:i/>
                <w:iCs/>
                <w:sz w:val="18"/>
                <w:szCs w:val="18"/>
              </w:rPr>
              <w:t>Kui jah</w:t>
            </w:r>
            <w:r w:rsidR="008E0606" w:rsidRPr="00717AA9">
              <w:rPr>
                <w:rFonts w:ascii="Times New Roman" w:hAnsi="Times New Roman" w:cs="Times New Roman"/>
                <w:i/>
                <w:iCs/>
                <w:sz w:val="18"/>
                <w:szCs w:val="18"/>
              </w:rPr>
              <w:t>,</w:t>
            </w:r>
            <w:r w:rsidRPr="00717AA9">
              <w:rPr>
                <w:rFonts w:ascii="Times New Roman" w:hAnsi="Times New Roman" w:cs="Times New Roman"/>
                <w:i/>
                <w:iCs/>
                <w:sz w:val="18"/>
                <w:szCs w:val="18"/>
              </w:rPr>
              <w:t xml:space="preserve"> </w:t>
            </w:r>
            <w:r w:rsidRPr="00717AA9">
              <w:rPr>
                <w:rStyle w:val="normaltextrun"/>
                <w:rFonts w:ascii="Times New Roman" w:hAnsi="Times New Roman" w:cs="Times New Roman"/>
                <w:i/>
                <w:iCs/>
                <w:sz w:val="18"/>
                <w:szCs w:val="18"/>
                <w:bdr w:val="none" w:sz="0" w:space="0" w:color="auto" w:frame="1"/>
              </w:rPr>
              <w:t xml:space="preserve">siis palume taotlusele lisada nõusoleku vorm või selle kavand ning küsimustik </w:t>
            </w:r>
            <w:r w:rsidR="009D206D" w:rsidRPr="00717AA9">
              <w:rPr>
                <w:rStyle w:val="normaltextrun"/>
                <w:rFonts w:ascii="Times New Roman" w:hAnsi="Times New Roman" w:cs="Times New Roman"/>
                <w:i/>
                <w:iCs/>
                <w:sz w:val="18"/>
                <w:szCs w:val="18"/>
                <w:bdr w:val="none" w:sz="0" w:space="0" w:color="auto" w:frame="1"/>
              </w:rPr>
              <w:t xml:space="preserve">või </w:t>
            </w:r>
            <w:r w:rsidRPr="00717AA9">
              <w:rPr>
                <w:rStyle w:val="normaltextrun"/>
                <w:rFonts w:ascii="Times New Roman" w:hAnsi="Times New Roman" w:cs="Times New Roman"/>
                <w:i/>
                <w:iCs/>
                <w:sz w:val="18"/>
                <w:szCs w:val="18"/>
                <w:bdr w:val="none" w:sz="0" w:space="0" w:color="auto" w:frame="1"/>
              </w:rPr>
              <w:t>selle kavand</w:t>
            </w:r>
            <w:r w:rsidR="007D58EE" w:rsidRPr="00717AA9">
              <w:rPr>
                <w:rStyle w:val="normaltextrun"/>
                <w:rFonts w:ascii="Times New Roman" w:hAnsi="Times New Roman" w:cs="Times New Roman"/>
                <w:i/>
                <w:iCs/>
                <w:sz w:val="18"/>
                <w:szCs w:val="18"/>
                <w:bdr w:val="none" w:sz="0" w:space="0" w:color="auto" w:frame="1"/>
              </w:rPr>
              <w:t>.</w:t>
            </w:r>
          </w:p>
        </w:tc>
        <w:tc>
          <w:tcPr>
            <w:tcW w:w="2829" w:type="dxa"/>
          </w:tcPr>
          <w:p w14:paraId="33C8F000" w14:textId="77777777" w:rsidR="00B625FA" w:rsidRPr="00717AA9" w:rsidRDefault="00157B42" w:rsidP="008E1057">
            <w:pPr>
              <w:pStyle w:val="Standard"/>
            </w:pPr>
            <w:r>
              <w:t>Ei</w:t>
            </w:r>
          </w:p>
        </w:tc>
      </w:tr>
    </w:tbl>
    <w:p w14:paraId="684A570D" w14:textId="77777777" w:rsidR="008E1057" w:rsidRPr="00717AA9" w:rsidRDefault="008E1057" w:rsidP="008E1057">
      <w:pPr>
        <w:pStyle w:val="Standard"/>
      </w:pPr>
    </w:p>
    <w:p w14:paraId="06FA88AF" w14:textId="77777777" w:rsidR="002E7BB7" w:rsidRPr="00717AA9" w:rsidRDefault="002E7BB7" w:rsidP="008E1057">
      <w:pPr>
        <w:pStyle w:val="Standard"/>
      </w:pPr>
    </w:p>
    <w:tbl>
      <w:tblPr>
        <w:tblW w:w="9638" w:type="dxa"/>
        <w:tblLayout w:type="fixed"/>
        <w:tblCellMar>
          <w:left w:w="10" w:type="dxa"/>
          <w:right w:w="10" w:type="dxa"/>
        </w:tblCellMar>
        <w:tblLook w:val="04A0" w:firstRow="1" w:lastRow="0" w:firstColumn="1" w:lastColumn="0" w:noHBand="0" w:noVBand="1"/>
      </w:tblPr>
      <w:tblGrid>
        <w:gridCol w:w="4819"/>
        <w:gridCol w:w="4819"/>
      </w:tblGrid>
      <w:tr w:rsidR="00717AA9" w:rsidRPr="00717AA9" w14:paraId="676C3B09" w14:textId="77777777">
        <w:tc>
          <w:tcPr>
            <w:tcW w:w="481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45A57D2" w14:textId="77777777" w:rsidR="00232EF5" w:rsidRPr="000643DA" w:rsidRDefault="00232EF5">
            <w:pPr>
              <w:pStyle w:val="TableContents"/>
            </w:pPr>
            <w:r w:rsidRPr="000643DA">
              <w:rPr>
                <w:b/>
                <w:bCs/>
              </w:rPr>
              <w:t>1. Vastutava töötleja üldandmed</w:t>
            </w:r>
            <w:r w:rsidRPr="000643DA">
              <w:rPr>
                <w:rStyle w:val="FootnoteReference"/>
                <w:b/>
                <w:bCs/>
              </w:rPr>
              <w:footnoteReference w:id="2"/>
            </w:r>
          </w:p>
        </w:tc>
        <w:tc>
          <w:tcPr>
            <w:tcW w:w="481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8E8009C" w14:textId="77777777" w:rsidR="00232EF5" w:rsidRPr="000643DA" w:rsidRDefault="00232EF5">
            <w:pPr>
              <w:pStyle w:val="TableContents"/>
              <w:rPr>
                <w:i/>
                <w:iCs/>
              </w:rPr>
            </w:pPr>
          </w:p>
        </w:tc>
      </w:tr>
      <w:tr w:rsidR="00717AA9" w:rsidRPr="00717AA9" w14:paraId="05CD219E" w14:textId="77777777">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3E21A45B" w14:textId="77777777" w:rsidR="00614698" w:rsidRPr="000643DA" w:rsidRDefault="00232EF5" w:rsidP="00B625FA">
            <w:pPr>
              <w:pStyle w:val="TableContents"/>
            </w:pPr>
            <w:r w:rsidRPr="000643DA">
              <w:t>1.1</w:t>
            </w:r>
            <w:r w:rsidR="007D58EE" w:rsidRPr="000643DA">
              <w:t>.</w:t>
            </w:r>
            <w:r w:rsidRPr="000643DA">
              <w:t xml:space="preserve"> Vastutava töötleja nimi</w:t>
            </w:r>
            <w:r w:rsidR="00614698" w:rsidRPr="000643DA">
              <w:t>,</w:t>
            </w:r>
            <w:r w:rsidR="00AC7B4A" w:rsidRPr="000643DA">
              <w:t xml:space="preserve"> registrikood</w:t>
            </w:r>
            <w:r w:rsidR="00B625FA" w:rsidRPr="000643DA">
              <w:t>, aadress ja kontakt</w:t>
            </w:r>
            <w:r w:rsidR="00614698" w:rsidRPr="000643DA">
              <w:t>andmed (sh kontaktisik)</w:t>
            </w:r>
          </w:p>
          <w:p w14:paraId="2BAB19F7" w14:textId="77777777" w:rsidR="00232EF5" w:rsidRPr="000643DA" w:rsidRDefault="00B625FA" w:rsidP="00614698">
            <w:pPr>
              <w:pStyle w:val="TableContents"/>
              <w:rPr>
                <w:i/>
                <w:iCs/>
                <w:sz w:val="18"/>
                <w:szCs w:val="18"/>
              </w:rPr>
            </w:pPr>
            <w:r w:rsidRPr="000643DA">
              <w:rPr>
                <w:i/>
                <w:iCs/>
                <w:sz w:val="18"/>
                <w:szCs w:val="18"/>
              </w:rPr>
              <w:t>analoogne registrikandega</w:t>
            </w:r>
            <w:r w:rsidR="00614698" w:rsidRPr="000643DA">
              <w:rPr>
                <w:i/>
                <w:iCs/>
                <w:sz w:val="18"/>
                <w:szCs w:val="18"/>
              </w:rPr>
              <w:t xml:space="preserve">, </w:t>
            </w:r>
            <w:r w:rsidRPr="000643DA">
              <w:rPr>
                <w:i/>
                <w:iCs/>
                <w:sz w:val="18"/>
                <w:szCs w:val="18"/>
              </w:rPr>
              <w:t>kontaktisiku e-post, telefon</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E0FE994" w14:textId="77777777" w:rsidR="000643DA" w:rsidRPr="000643DA" w:rsidRDefault="000643DA" w:rsidP="000643DA">
            <w:pPr>
              <w:pStyle w:val="Standard"/>
            </w:pPr>
            <w:r w:rsidRPr="000643DA">
              <w:t xml:space="preserve">ees- ja perekonnanimi: </w:t>
            </w:r>
            <w:r w:rsidR="00356BB9">
              <w:t>Marek Maasikmets</w:t>
            </w:r>
            <w:r w:rsidRPr="000643DA">
              <w:br/>
              <w:t xml:space="preserve">amet: </w:t>
            </w:r>
            <w:r w:rsidR="000103CB">
              <w:t>a</w:t>
            </w:r>
            <w:r w:rsidR="000103CB" w:rsidRPr="000103CB">
              <w:t>ndmeanalüüsi grupi juhataja</w:t>
            </w:r>
            <w:r w:rsidRPr="000643DA">
              <w:br/>
              <w:t xml:space="preserve">töökoht: </w:t>
            </w:r>
            <w:r w:rsidR="00356BB9">
              <w:t>Eesti Keskkonnauuringute Keskus</w:t>
            </w:r>
            <w:r w:rsidRPr="000643DA">
              <w:t xml:space="preserve"> </w:t>
            </w:r>
          </w:p>
          <w:p w14:paraId="2380AC3B" w14:textId="77777777" w:rsidR="000643DA" w:rsidRPr="000643DA" w:rsidRDefault="000643DA" w:rsidP="000643DA">
            <w:pPr>
              <w:pStyle w:val="Standard"/>
            </w:pPr>
            <w:r w:rsidRPr="000643DA">
              <w:t xml:space="preserve">töökoha aadress: </w:t>
            </w:r>
            <w:r w:rsidR="00356BB9" w:rsidRPr="00356BB9">
              <w:t>Marja 4d, 10617 Tallinn</w:t>
            </w:r>
            <w:r w:rsidRPr="000643DA">
              <w:t xml:space="preserve"> </w:t>
            </w:r>
          </w:p>
          <w:p w14:paraId="1A5C28A1" w14:textId="77777777" w:rsidR="000643DA" w:rsidRPr="000643DA" w:rsidRDefault="000643DA" w:rsidP="000643DA">
            <w:pPr>
              <w:pStyle w:val="Standard"/>
            </w:pPr>
            <w:r w:rsidRPr="000643DA">
              <w:t>telefoninumber: +372 5</w:t>
            </w:r>
            <w:r w:rsidR="00356BB9">
              <w:t>648 7722</w:t>
            </w:r>
            <w:r w:rsidRPr="000643DA">
              <w:t xml:space="preserve"> </w:t>
            </w:r>
          </w:p>
          <w:p w14:paraId="5C8F701E" w14:textId="77777777" w:rsidR="000643DA" w:rsidRPr="000643DA" w:rsidRDefault="000643DA" w:rsidP="000643DA">
            <w:pPr>
              <w:pStyle w:val="Standard"/>
            </w:pPr>
            <w:r w:rsidRPr="000643DA">
              <w:t>e-</w:t>
            </w:r>
            <w:r w:rsidR="000103CB" w:rsidRPr="000103CB">
              <w:t>post: marek.maasikmets@klab.ee</w:t>
            </w:r>
            <w:r w:rsidR="000103CB" w:rsidRPr="000643DA">
              <w:t xml:space="preserve"> </w:t>
            </w:r>
          </w:p>
        </w:tc>
      </w:tr>
      <w:tr w:rsidR="00232EF5" w:rsidRPr="00717AA9" w14:paraId="21F3CA82" w14:textId="77777777">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298F6166" w14:textId="77777777" w:rsidR="00AC7B4A" w:rsidRPr="000643DA" w:rsidRDefault="00AC7B4A" w:rsidP="00AC7B4A">
            <w:pPr>
              <w:pStyle w:val="TableContents"/>
            </w:pPr>
            <w:r w:rsidRPr="000643DA">
              <w:t>1.</w:t>
            </w:r>
            <w:r w:rsidR="00B625FA" w:rsidRPr="000643DA">
              <w:t>2</w:t>
            </w:r>
            <w:r w:rsidR="000949F0" w:rsidRPr="000643DA">
              <w:t>.</w:t>
            </w:r>
            <w:r w:rsidRPr="000643DA">
              <w:t xml:space="preserve"> Isikuandmete töötlemiskoha aadress (kui erineb registriandmetest)</w:t>
            </w:r>
          </w:p>
          <w:p w14:paraId="7C9845F7" w14:textId="77777777" w:rsidR="00232EF5" w:rsidRPr="000643DA" w:rsidRDefault="00232EF5">
            <w:pPr>
              <w:pStyle w:val="TableContents"/>
              <w:rPr>
                <w:i/>
                <w:iCs/>
                <w:sz w:val="18"/>
                <w:szCs w:val="18"/>
              </w:rPr>
            </w:pPr>
            <w:r w:rsidRPr="000643DA">
              <w:rPr>
                <w:i/>
                <w:iCs/>
                <w:sz w:val="18"/>
                <w:szCs w:val="18"/>
              </w:rPr>
              <w:t>maja, tänav, asula/linn, maakond, postiindeks</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8C1129B" w14:textId="77777777" w:rsidR="00232EF5" w:rsidRPr="000643DA" w:rsidRDefault="00232EF5">
            <w:pPr>
              <w:pStyle w:val="TableContents"/>
            </w:pPr>
          </w:p>
        </w:tc>
      </w:tr>
    </w:tbl>
    <w:p w14:paraId="20AC9CFE" w14:textId="77777777" w:rsidR="00EA37EA" w:rsidRPr="00717AA9" w:rsidRDefault="00EA37EA" w:rsidP="0041401E">
      <w:pPr>
        <w:pStyle w:val="Standard"/>
      </w:pPr>
    </w:p>
    <w:tbl>
      <w:tblPr>
        <w:tblStyle w:val="TableGrid"/>
        <w:tblW w:w="0" w:type="auto"/>
        <w:tblLook w:val="04A0" w:firstRow="1" w:lastRow="0" w:firstColumn="1" w:lastColumn="0" w:noHBand="0" w:noVBand="1"/>
      </w:tblPr>
      <w:tblGrid>
        <w:gridCol w:w="4814"/>
        <w:gridCol w:w="4814"/>
      </w:tblGrid>
      <w:tr w:rsidR="00717AA9" w:rsidRPr="00717AA9" w14:paraId="1BD8105F" w14:textId="77777777" w:rsidTr="00EA37EA">
        <w:tc>
          <w:tcPr>
            <w:tcW w:w="4814" w:type="dxa"/>
          </w:tcPr>
          <w:p w14:paraId="190F85DB" w14:textId="77777777" w:rsidR="00EA37EA" w:rsidRPr="00717AA9" w:rsidRDefault="00EA37EA" w:rsidP="0041401E">
            <w:pPr>
              <w:pStyle w:val="Standard"/>
            </w:pPr>
            <w:r w:rsidRPr="00717AA9">
              <w:t xml:space="preserve">2. </w:t>
            </w:r>
            <w:r w:rsidRPr="00717AA9">
              <w:rPr>
                <w:b/>
                <w:bCs/>
              </w:rPr>
              <w:t>Volitatud töötleja üldandmed</w:t>
            </w:r>
            <w:r w:rsidR="00A474BE" w:rsidRPr="00717AA9">
              <w:rPr>
                <w:rStyle w:val="FootnoteReference"/>
                <w:b/>
                <w:bCs/>
              </w:rPr>
              <w:footnoteReference w:id="3"/>
            </w:r>
          </w:p>
        </w:tc>
        <w:tc>
          <w:tcPr>
            <w:tcW w:w="4814" w:type="dxa"/>
          </w:tcPr>
          <w:p w14:paraId="038EE446" w14:textId="77777777" w:rsidR="00EA37EA" w:rsidRPr="00717AA9" w:rsidRDefault="00EA37EA" w:rsidP="0041401E">
            <w:pPr>
              <w:pStyle w:val="Standard"/>
            </w:pPr>
          </w:p>
        </w:tc>
      </w:tr>
      <w:tr w:rsidR="00717AA9" w:rsidRPr="00717AA9" w14:paraId="63D6DA88" w14:textId="77777777" w:rsidTr="00EA37EA">
        <w:tc>
          <w:tcPr>
            <w:tcW w:w="4814" w:type="dxa"/>
          </w:tcPr>
          <w:p w14:paraId="4AF8D62A" w14:textId="77777777" w:rsidR="00B625FA" w:rsidRPr="00717AA9" w:rsidRDefault="00EA37EA" w:rsidP="00B625FA">
            <w:pPr>
              <w:pStyle w:val="Standard"/>
            </w:pPr>
            <w:r w:rsidRPr="00717AA9">
              <w:t>2.1. Volitatud töötleja nimi</w:t>
            </w:r>
            <w:r w:rsidR="00614698" w:rsidRPr="00717AA9">
              <w:t>,</w:t>
            </w:r>
            <w:r w:rsidRPr="00717AA9">
              <w:t xml:space="preserve"> registrikood</w:t>
            </w:r>
            <w:r w:rsidR="00B625FA" w:rsidRPr="00717AA9">
              <w:t>, aadress ja kontaktandmed (sh kontaktisik)</w:t>
            </w:r>
          </w:p>
          <w:p w14:paraId="473CF84D" w14:textId="77777777" w:rsidR="00EA37EA" w:rsidRPr="00717AA9" w:rsidRDefault="00B625FA" w:rsidP="00B625FA">
            <w:pPr>
              <w:pStyle w:val="Standard"/>
            </w:pPr>
            <w:r w:rsidRPr="00717AA9">
              <w:rPr>
                <w:i/>
                <w:iCs/>
                <w:sz w:val="16"/>
                <w:szCs w:val="16"/>
              </w:rPr>
              <w:t>Aadress analoogne registrikandega, kontaktisiku e-post ja telefoninumber</w:t>
            </w:r>
          </w:p>
        </w:tc>
        <w:tc>
          <w:tcPr>
            <w:tcW w:w="4814" w:type="dxa"/>
          </w:tcPr>
          <w:p w14:paraId="090E8329" w14:textId="77777777" w:rsidR="004648FC" w:rsidRPr="00717AA9" w:rsidRDefault="004648FC" w:rsidP="004648FC">
            <w:pPr>
              <w:pStyle w:val="Standard"/>
            </w:pPr>
            <w:r w:rsidRPr="00717AA9">
              <w:t xml:space="preserve">ees- ja perekonnanimi: Hans Orru </w:t>
            </w:r>
            <w:r w:rsidRPr="00717AA9">
              <w:br/>
              <w:t xml:space="preserve">amet: keskkonnatervishoiu professor </w:t>
            </w:r>
            <w:r w:rsidRPr="00717AA9">
              <w:br/>
              <w:t xml:space="preserve">töökoht: Tartu Ülikool, Peremeditsiini ja rahvatervishoiu instituut </w:t>
            </w:r>
          </w:p>
          <w:p w14:paraId="0CCA5F90" w14:textId="77777777" w:rsidR="004648FC" w:rsidRPr="00717AA9" w:rsidRDefault="004648FC" w:rsidP="004648FC">
            <w:pPr>
              <w:pStyle w:val="Standard"/>
            </w:pPr>
            <w:r w:rsidRPr="00717AA9">
              <w:t xml:space="preserve">töökoha aadress: Ravila 19, Tartu linn, 50411 telefoninumber: +372 527 7427 </w:t>
            </w:r>
          </w:p>
          <w:p w14:paraId="4AC0DC79" w14:textId="77777777" w:rsidR="00EA37EA" w:rsidRPr="00717AA9" w:rsidRDefault="004648FC" w:rsidP="004648FC">
            <w:pPr>
              <w:pStyle w:val="Standard"/>
            </w:pPr>
            <w:r w:rsidRPr="00717AA9">
              <w:t xml:space="preserve">e-post: hans.orru@ut.ee </w:t>
            </w:r>
          </w:p>
        </w:tc>
      </w:tr>
      <w:tr w:rsidR="00717AA9" w:rsidRPr="00717AA9" w14:paraId="0455B7F0" w14:textId="77777777" w:rsidTr="00EA37EA">
        <w:tc>
          <w:tcPr>
            <w:tcW w:w="4814" w:type="dxa"/>
          </w:tcPr>
          <w:p w14:paraId="448A85AC" w14:textId="77777777" w:rsidR="00EA37EA" w:rsidRPr="00717AA9" w:rsidRDefault="00EA37EA" w:rsidP="0041401E">
            <w:pPr>
              <w:pStyle w:val="Standard"/>
            </w:pPr>
            <w:r w:rsidRPr="00717AA9">
              <w:t>2.</w:t>
            </w:r>
            <w:r w:rsidR="006C2148" w:rsidRPr="00717AA9">
              <w:t>2</w:t>
            </w:r>
            <w:r w:rsidRPr="00717AA9">
              <w:t xml:space="preserve">. Isikuandmete töötlemiskoha aadress (kui erineb </w:t>
            </w:r>
            <w:r w:rsidR="00614698" w:rsidRPr="00717AA9">
              <w:t>registriandmetest</w:t>
            </w:r>
            <w:r w:rsidRPr="00717AA9">
              <w:t>)</w:t>
            </w:r>
          </w:p>
          <w:p w14:paraId="1136F167" w14:textId="77777777" w:rsidR="008E0606" w:rsidRPr="00717AA9" w:rsidRDefault="008E0606" w:rsidP="0041401E">
            <w:pPr>
              <w:pStyle w:val="Standard"/>
            </w:pPr>
            <w:r w:rsidRPr="00717AA9">
              <w:rPr>
                <w:i/>
                <w:iCs/>
                <w:sz w:val="18"/>
                <w:szCs w:val="18"/>
              </w:rPr>
              <w:t>maja, tänav, asula/linn, maakond, postiindeks</w:t>
            </w:r>
          </w:p>
        </w:tc>
        <w:tc>
          <w:tcPr>
            <w:tcW w:w="4814" w:type="dxa"/>
          </w:tcPr>
          <w:p w14:paraId="03D7AEB3" w14:textId="77777777" w:rsidR="00EA37EA" w:rsidRPr="00717AA9" w:rsidRDefault="00EA37EA" w:rsidP="0041401E">
            <w:pPr>
              <w:pStyle w:val="Standard"/>
            </w:pPr>
          </w:p>
        </w:tc>
      </w:tr>
    </w:tbl>
    <w:p w14:paraId="677E1A6C" w14:textId="77777777" w:rsidR="00EA37EA" w:rsidRPr="00717AA9" w:rsidRDefault="0041401E" w:rsidP="0041401E">
      <w:pPr>
        <w:pStyle w:val="Standard"/>
      </w:pPr>
      <w:r w:rsidRPr="00717AA9">
        <w:tab/>
      </w:r>
    </w:p>
    <w:p w14:paraId="6BC88FD4" w14:textId="77777777" w:rsidR="008E1057" w:rsidRPr="00717AA9" w:rsidRDefault="008E1057">
      <w:pPr>
        <w:pStyle w:val="Standard"/>
        <w:rPr>
          <w:b/>
          <w:bCs/>
        </w:rPr>
      </w:pPr>
    </w:p>
    <w:tbl>
      <w:tblPr>
        <w:tblStyle w:val="TableGrid"/>
        <w:tblW w:w="0" w:type="auto"/>
        <w:tblLook w:val="04A0" w:firstRow="1" w:lastRow="0" w:firstColumn="1" w:lastColumn="0" w:noHBand="0" w:noVBand="1"/>
      </w:tblPr>
      <w:tblGrid>
        <w:gridCol w:w="4814"/>
        <w:gridCol w:w="4814"/>
      </w:tblGrid>
      <w:tr w:rsidR="00996CED" w:rsidRPr="00717AA9" w14:paraId="03FA0B00" w14:textId="77777777" w:rsidTr="00996CED">
        <w:tc>
          <w:tcPr>
            <w:tcW w:w="4814" w:type="dxa"/>
          </w:tcPr>
          <w:p w14:paraId="084295C1" w14:textId="77777777" w:rsidR="00996CED" w:rsidRPr="00717AA9" w:rsidRDefault="000C3BFC">
            <w:pPr>
              <w:pStyle w:val="Standard"/>
              <w:rPr>
                <w:b/>
                <w:bCs/>
              </w:rPr>
            </w:pPr>
            <w:r w:rsidRPr="00717AA9">
              <w:rPr>
                <w:b/>
                <w:bCs/>
              </w:rPr>
              <w:t>3</w:t>
            </w:r>
            <w:r w:rsidR="00996CED" w:rsidRPr="00717AA9">
              <w:rPr>
                <w:b/>
                <w:bCs/>
              </w:rPr>
              <w:t xml:space="preserve">. </w:t>
            </w:r>
            <w:r w:rsidR="00614698" w:rsidRPr="00717AA9">
              <w:rPr>
                <w:b/>
                <w:bCs/>
              </w:rPr>
              <w:t>Mis on t</w:t>
            </w:r>
            <w:r w:rsidR="00996CED" w:rsidRPr="00717AA9">
              <w:rPr>
                <w:b/>
                <w:bCs/>
              </w:rPr>
              <w:t>eadusuuringu läbiviimise õiguslik alus</w:t>
            </w:r>
            <w:r w:rsidR="002E7BB7" w:rsidRPr="00717AA9">
              <w:rPr>
                <w:b/>
                <w:bCs/>
              </w:rPr>
              <w:t>?</w:t>
            </w:r>
          </w:p>
          <w:p w14:paraId="7D77C994" w14:textId="77777777" w:rsidR="00996CED" w:rsidRPr="00717AA9" w:rsidRDefault="00996CED" w:rsidP="00B625FA">
            <w:pPr>
              <w:pStyle w:val="Textbody"/>
              <w:rPr>
                <w:rFonts w:ascii="Times New Roman" w:hAnsi="Times New Roman"/>
                <w:i/>
                <w:sz w:val="18"/>
                <w:szCs w:val="18"/>
              </w:rPr>
            </w:pPr>
            <w:r w:rsidRPr="00717AA9">
              <w:rPr>
                <w:rFonts w:ascii="Times New Roman" w:hAnsi="Times New Roman"/>
                <w:i/>
                <w:sz w:val="18"/>
                <w:szCs w:val="18"/>
              </w:rPr>
              <w:t xml:space="preserve">Nimetage </w:t>
            </w:r>
            <w:r w:rsidRPr="00717AA9">
              <w:rPr>
                <w:i/>
                <w:sz w:val="18"/>
                <w:szCs w:val="18"/>
              </w:rPr>
              <w:t>õ</w:t>
            </w:r>
            <w:r w:rsidRPr="00717AA9">
              <w:rPr>
                <w:rFonts w:ascii="Times New Roman" w:hAnsi="Times New Roman"/>
                <w:i/>
                <w:sz w:val="18"/>
                <w:szCs w:val="18"/>
              </w:rPr>
              <w:t xml:space="preserve">igusakt, mis annab Teile </w:t>
            </w:r>
            <w:r w:rsidRPr="00717AA9">
              <w:rPr>
                <w:i/>
                <w:sz w:val="18"/>
                <w:szCs w:val="18"/>
              </w:rPr>
              <w:t>õ</w:t>
            </w:r>
            <w:r w:rsidRPr="00717AA9">
              <w:rPr>
                <w:rFonts w:ascii="Times New Roman" w:hAnsi="Times New Roman"/>
                <w:i/>
                <w:sz w:val="18"/>
                <w:szCs w:val="18"/>
              </w:rPr>
              <w:t>iguse teadusuuringut l</w:t>
            </w:r>
            <w:r w:rsidRPr="00717AA9">
              <w:rPr>
                <w:i/>
                <w:sz w:val="18"/>
                <w:szCs w:val="18"/>
              </w:rPr>
              <w:t>ä</w:t>
            </w:r>
            <w:r w:rsidRPr="00717AA9">
              <w:rPr>
                <w:rFonts w:ascii="Times New Roman" w:hAnsi="Times New Roman"/>
                <w:i/>
                <w:sz w:val="18"/>
                <w:szCs w:val="18"/>
              </w:rPr>
              <w:t xml:space="preserve">bi viia. Ei piisa viitest </w:t>
            </w:r>
            <w:r w:rsidR="007A0532" w:rsidRPr="00717AA9">
              <w:rPr>
                <w:rFonts w:ascii="Times New Roman" w:hAnsi="Times New Roman"/>
                <w:i/>
                <w:sz w:val="18"/>
                <w:szCs w:val="18"/>
              </w:rPr>
              <w:t>IKS</w:t>
            </w:r>
            <w:r w:rsidRPr="00717AA9">
              <w:rPr>
                <w:rFonts w:ascii="Times New Roman" w:hAnsi="Times New Roman"/>
                <w:i/>
                <w:sz w:val="18"/>
                <w:szCs w:val="18"/>
              </w:rPr>
              <w:t xml:space="preserve"> </w:t>
            </w:r>
            <w:r w:rsidRPr="00717AA9">
              <w:rPr>
                <w:i/>
                <w:sz w:val="18"/>
                <w:szCs w:val="18"/>
              </w:rPr>
              <w:t xml:space="preserve">§ </w:t>
            </w:r>
            <w:r w:rsidRPr="00717AA9">
              <w:rPr>
                <w:rFonts w:ascii="Times New Roman" w:hAnsi="Times New Roman"/>
                <w:i/>
                <w:sz w:val="18"/>
                <w:szCs w:val="18"/>
              </w:rPr>
              <w:t xml:space="preserve">6-le. </w:t>
            </w:r>
            <w:r w:rsidR="00ED2120" w:rsidRPr="00717AA9">
              <w:rPr>
                <w:rFonts w:ascii="Times New Roman" w:hAnsi="Times New Roman"/>
                <w:i/>
                <w:sz w:val="18"/>
                <w:szCs w:val="18"/>
              </w:rPr>
              <w:t xml:space="preserve">Poliitikakujundamise eesmärgil läbiviidava uuringu puhul tuua välja volitusnorm, millest nähtub, et asutus on selle valdkonna eest vastutav.  </w:t>
            </w:r>
            <w:r w:rsidR="00F27D21" w:rsidRPr="00717AA9">
              <w:rPr>
                <w:rFonts w:ascii="Times New Roman" w:hAnsi="Times New Roman"/>
                <w:i/>
                <w:sz w:val="18"/>
                <w:szCs w:val="18"/>
              </w:rPr>
              <w:t>Akadeemilise uuringu korral v</w:t>
            </w:r>
            <w:r w:rsidR="00F27D21" w:rsidRPr="00717AA9">
              <w:rPr>
                <w:i/>
                <w:sz w:val="18"/>
                <w:szCs w:val="18"/>
              </w:rPr>
              <w:t>õ</w:t>
            </w:r>
            <w:r w:rsidR="00F27D21" w:rsidRPr="00717AA9">
              <w:rPr>
                <w:rFonts w:ascii="Times New Roman" w:hAnsi="Times New Roman"/>
                <w:i/>
                <w:sz w:val="18"/>
                <w:szCs w:val="18"/>
              </w:rPr>
              <w:t>ib see olla n</w:t>
            </w:r>
            <w:r w:rsidR="00F27D21" w:rsidRPr="00717AA9">
              <w:rPr>
                <w:i/>
                <w:sz w:val="18"/>
                <w:szCs w:val="18"/>
              </w:rPr>
              <w:t>ä</w:t>
            </w:r>
            <w:r w:rsidR="00F27D21" w:rsidRPr="00717AA9">
              <w:rPr>
                <w:rFonts w:ascii="Times New Roman" w:hAnsi="Times New Roman"/>
                <w:i/>
                <w:sz w:val="18"/>
                <w:szCs w:val="18"/>
              </w:rPr>
              <w:t>iteks Teadus- ja arendustegevuse korralduse seadus v</w:t>
            </w:r>
            <w:r w:rsidR="00F27D21" w:rsidRPr="00717AA9">
              <w:rPr>
                <w:i/>
                <w:sz w:val="18"/>
                <w:szCs w:val="18"/>
              </w:rPr>
              <w:t>õ</w:t>
            </w:r>
            <w:r w:rsidR="00F27D21" w:rsidRPr="00717AA9">
              <w:rPr>
                <w:rFonts w:ascii="Times New Roman" w:hAnsi="Times New Roman"/>
                <w:i/>
                <w:sz w:val="18"/>
                <w:szCs w:val="18"/>
              </w:rPr>
              <w:t>i teadus- v</w:t>
            </w:r>
            <w:r w:rsidR="00F27D21" w:rsidRPr="00717AA9">
              <w:rPr>
                <w:i/>
                <w:sz w:val="18"/>
                <w:szCs w:val="18"/>
              </w:rPr>
              <w:t>õ</w:t>
            </w:r>
            <w:r w:rsidR="00F27D21" w:rsidRPr="00717AA9">
              <w:rPr>
                <w:rFonts w:ascii="Times New Roman" w:hAnsi="Times New Roman"/>
                <w:i/>
                <w:sz w:val="18"/>
                <w:szCs w:val="18"/>
              </w:rPr>
              <w:t>i arendusprojekti avamise otsus, leping vms.</w:t>
            </w:r>
          </w:p>
        </w:tc>
        <w:tc>
          <w:tcPr>
            <w:tcW w:w="4814" w:type="dxa"/>
          </w:tcPr>
          <w:p w14:paraId="2133B806" w14:textId="4C8B5DDB" w:rsidR="00534A42" w:rsidRPr="00534A42" w:rsidRDefault="00025DD0" w:rsidP="00534A42">
            <w:pPr>
              <w:rPr>
                <w:bCs/>
              </w:rPr>
            </w:pPr>
            <w:r w:rsidRPr="00025DD0">
              <w:rPr>
                <w:bCs/>
              </w:rPr>
              <w:t xml:space="preserve">OÜ Eesti Keskkonnauuringute Keskus on riigile kuuluv </w:t>
            </w:r>
            <w:r>
              <w:rPr>
                <w:bCs/>
              </w:rPr>
              <w:t>osa</w:t>
            </w:r>
            <w:r w:rsidRPr="00025DD0">
              <w:rPr>
                <w:bCs/>
              </w:rPr>
              <w:t>ühing</w:t>
            </w:r>
            <w:r w:rsidR="00534A42">
              <w:rPr>
                <w:bCs/>
              </w:rPr>
              <w:t>, mis täidab riigiga sõlmitud halduslepingu (</w:t>
            </w:r>
            <w:hyperlink r:id="rId14" w:history="1">
              <w:r w:rsidR="00534A42" w:rsidRPr="00C13529">
                <w:rPr>
                  <w:rStyle w:val="Hyperlink"/>
                  <w:bCs/>
                </w:rPr>
                <w:t>https://www.riigiteataja.ee/akt/122032019012</w:t>
              </w:r>
            </w:hyperlink>
            <w:r w:rsidR="00534A42">
              <w:rPr>
                <w:bCs/>
              </w:rPr>
              <w:t xml:space="preserve">, </w:t>
            </w:r>
            <w:hyperlink r:id="rId15" w:history="1">
              <w:r w:rsidR="00534A42" w:rsidRPr="00C13529">
                <w:rPr>
                  <w:rStyle w:val="Hyperlink"/>
                  <w:bCs/>
                </w:rPr>
                <w:t>https://www.riigiteataja.ee/akt/122032019012</w:t>
              </w:r>
            </w:hyperlink>
            <w:r w:rsidR="00534A42">
              <w:rPr>
                <w:bCs/>
              </w:rPr>
              <w:t>) alusel atmosfääriõhu kaitse seaduse § 30 lg 5 sätestatud ülesandeid välisõhu kvaliteedi hindamisel. Vastavalt AõkS § 30 lg 5.1</w:t>
            </w:r>
            <w:r w:rsidR="00534A42" w:rsidRPr="00534A42">
              <w:rPr>
                <w:bCs/>
              </w:rPr>
              <w:t xml:space="preserve"> </w:t>
            </w:r>
            <w:r w:rsidR="00534A42">
              <w:rPr>
                <w:bCs/>
              </w:rPr>
              <w:t xml:space="preserve">on </w:t>
            </w:r>
            <w:r w:rsidR="00534A42" w:rsidRPr="00534A42">
              <w:rPr>
                <w:bCs/>
              </w:rPr>
              <w:t>paragrahvi lõikes 5 nimetatud referentslabori ülesanded:</w:t>
            </w:r>
          </w:p>
          <w:p w14:paraId="58277015" w14:textId="77777777" w:rsidR="00534A42" w:rsidRPr="00534A42" w:rsidRDefault="00534A42" w:rsidP="00534A42">
            <w:pPr>
              <w:rPr>
                <w:bCs/>
              </w:rPr>
            </w:pPr>
            <w:r w:rsidRPr="00534A42">
              <w:rPr>
                <w:bCs/>
              </w:rPr>
              <w:t xml:space="preserve">  1) välisõhu kvaliteedi hindamine riiklikul tasandil;</w:t>
            </w:r>
          </w:p>
          <w:p w14:paraId="7C03AE6A" w14:textId="77777777" w:rsidR="00534A42" w:rsidRPr="00534A42" w:rsidRDefault="00534A42" w:rsidP="00534A42">
            <w:pPr>
              <w:rPr>
                <w:bCs/>
              </w:rPr>
            </w:pPr>
            <w:r w:rsidRPr="00534A42">
              <w:rPr>
                <w:bCs/>
              </w:rPr>
              <w:t xml:space="preserve">  2) eri mõõtesüsteemide, sealhulgas meetodite, seadmete, võrkude, laborite ja nende mõõtmistäpsuste asjakohasuse analüüsimine, mõõtmistäpsuse tagamine ja hindamismeetodite analüüs;</w:t>
            </w:r>
          </w:p>
          <w:p w14:paraId="34472214" w14:textId="77777777" w:rsidR="00534A42" w:rsidRPr="00534A42" w:rsidRDefault="00534A42" w:rsidP="00534A42">
            <w:pPr>
              <w:rPr>
                <w:bCs/>
              </w:rPr>
            </w:pPr>
            <w:r w:rsidRPr="00534A42">
              <w:rPr>
                <w:bCs/>
              </w:rPr>
              <w:t xml:space="preserve">  3) Euroopa Komisjoni korraldatavate õhukvaliteedi hindamise kvaliteedi tagamise programmide koordineerimine Eestis ning koostöö teiste Euroopa Liidu liikmesriikide ja Euroopa Komisjoniga;</w:t>
            </w:r>
          </w:p>
          <w:p w14:paraId="27F31FA0" w14:textId="77777777" w:rsidR="00534A42" w:rsidRPr="00534A42" w:rsidRDefault="00534A42" w:rsidP="00534A42">
            <w:pPr>
              <w:rPr>
                <w:bCs/>
              </w:rPr>
            </w:pPr>
            <w:r w:rsidRPr="00534A42">
              <w:rPr>
                <w:bCs/>
              </w:rPr>
              <w:t xml:space="preserve">  4) osalemine Euroopa Komisjoni korraldatavates õhukvaliteedi hindamise kvaliteedi tagamise programmide võrdluskatsetes;</w:t>
            </w:r>
          </w:p>
          <w:p w14:paraId="3511061B" w14:textId="77777777" w:rsidR="00534A42" w:rsidRPr="00534A42" w:rsidRDefault="00534A42" w:rsidP="00534A42">
            <w:pPr>
              <w:rPr>
                <w:bCs/>
              </w:rPr>
            </w:pPr>
            <w:r w:rsidRPr="00534A42">
              <w:rPr>
                <w:bCs/>
              </w:rPr>
              <w:t xml:space="preserve">  5) õhukvaliteedi andmete kogumise ja esitamise kvaliteedi tagamine ning kvaliteedikontrolli süsteemi nõuetekohane rakendamine;</w:t>
            </w:r>
          </w:p>
          <w:p w14:paraId="69241080" w14:textId="77777777" w:rsidR="00534A42" w:rsidRPr="00534A42" w:rsidRDefault="00534A42" w:rsidP="00534A42">
            <w:pPr>
              <w:rPr>
                <w:bCs/>
              </w:rPr>
            </w:pPr>
            <w:r w:rsidRPr="00534A42">
              <w:rPr>
                <w:bCs/>
              </w:rPr>
              <w:t xml:space="preserve">  6) </w:t>
            </w:r>
            <w:r w:rsidRPr="00534A42">
              <w:rPr>
                <w:b/>
              </w:rPr>
              <w:t>avalikkuse teavitamine õhukvaliteedi tasemest;</w:t>
            </w:r>
          </w:p>
          <w:p w14:paraId="248603F6" w14:textId="2799DE69" w:rsidR="00534A42" w:rsidRPr="00025DD0" w:rsidRDefault="00534A42" w:rsidP="00534A42">
            <w:pPr>
              <w:rPr>
                <w:bCs/>
              </w:rPr>
            </w:pPr>
            <w:r w:rsidRPr="00534A42">
              <w:rPr>
                <w:bCs/>
              </w:rPr>
              <w:t xml:space="preserve">  7) keskkonnaseisundi kahjustamise ja ohuolukordade esinemise korral operatiivselt asjaomaste institutsioonide teavitamine.</w:t>
            </w:r>
          </w:p>
          <w:p w14:paraId="16B4E177" w14:textId="77777777" w:rsidR="00025DD0" w:rsidRDefault="00025DD0" w:rsidP="007674DF">
            <w:pPr>
              <w:rPr>
                <w:b/>
                <w:bCs/>
              </w:rPr>
            </w:pPr>
          </w:p>
          <w:p w14:paraId="2513CF07" w14:textId="77777777" w:rsidR="008E68FE" w:rsidRPr="00717AA9" w:rsidRDefault="008E68FE" w:rsidP="00534A42"/>
        </w:tc>
      </w:tr>
    </w:tbl>
    <w:p w14:paraId="2A84AF1B" w14:textId="77777777" w:rsidR="00E20D1D" w:rsidRPr="00717AA9" w:rsidRDefault="00E20D1D" w:rsidP="00E20D1D">
      <w:pPr>
        <w:pStyle w:val="Standard"/>
        <w:rPr>
          <w:b/>
          <w:bCs/>
        </w:rPr>
      </w:pPr>
    </w:p>
    <w:p w14:paraId="3F3E69D0" w14:textId="77777777" w:rsidR="008161F0" w:rsidRPr="00717AA9" w:rsidRDefault="008161F0" w:rsidP="00E20D1D">
      <w:pPr>
        <w:pStyle w:val="Standard"/>
        <w:rPr>
          <w:b/>
          <w:bCs/>
        </w:rPr>
      </w:pPr>
    </w:p>
    <w:tbl>
      <w:tblPr>
        <w:tblStyle w:val="TableGrid"/>
        <w:tblW w:w="0" w:type="auto"/>
        <w:tblLook w:val="04A0" w:firstRow="1" w:lastRow="0" w:firstColumn="1" w:lastColumn="0" w:noHBand="0" w:noVBand="1"/>
      </w:tblPr>
      <w:tblGrid>
        <w:gridCol w:w="9628"/>
      </w:tblGrid>
      <w:tr w:rsidR="00E20D1D" w:rsidRPr="00717AA9" w14:paraId="23E77912" w14:textId="77777777">
        <w:tc>
          <w:tcPr>
            <w:tcW w:w="9628" w:type="dxa"/>
          </w:tcPr>
          <w:p w14:paraId="586E2395" w14:textId="77777777" w:rsidR="00E20D1D" w:rsidRPr="00717AA9" w:rsidRDefault="000C3BFC">
            <w:pPr>
              <w:pStyle w:val="Standard"/>
              <w:rPr>
                <w:b/>
                <w:bCs/>
              </w:rPr>
            </w:pPr>
            <w:r w:rsidRPr="00717AA9">
              <w:rPr>
                <w:b/>
                <w:bCs/>
              </w:rPr>
              <w:t>4</w:t>
            </w:r>
            <w:r w:rsidR="00E20D1D" w:rsidRPr="00717AA9">
              <w:rPr>
                <w:b/>
                <w:bCs/>
              </w:rPr>
              <w:t xml:space="preserve">. </w:t>
            </w:r>
            <w:r w:rsidR="00614698" w:rsidRPr="00717AA9">
              <w:rPr>
                <w:b/>
                <w:bCs/>
              </w:rPr>
              <w:t>Mis on i</w:t>
            </w:r>
            <w:r w:rsidR="00E20D1D" w:rsidRPr="00717AA9">
              <w:rPr>
                <w:b/>
                <w:bCs/>
              </w:rPr>
              <w:t>sikuandmete töötlemise eesmärk</w:t>
            </w:r>
            <w:r w:rsidR="002E7BB7" w:rsidRPr="00717AA9">
              <w:rPr>
                <w:b/>
                <w:bCs/>
              </w:rPr>
              <w:t>?</w:t>
            </w:r>
          </w:p>
          <w:p w14:paraId="1457EEDD" w14:textId="77777777" w:rsidR="00E20D1D" w:rsidRPr="00717AA9" w:rsidRDefault="00E20D1D" w:rsidP="00B4159C">
            <w:pPr>
              <w:pStyle w:val="Standard"/>
              <w:jc w:val="both"/>
              <w:rPr>
                <w:b/>
                <w:bCs/>
                <w:i/>
                <w:iCs/>
                <w:sz w:val="18"/>
                <w:szCs w:val="18"/>
              </w:rPr>
            </w:pPr>
            <w:r w:rsidRPr="00717AA9">
              <w:rPr>
                <w:i/>
                <w:iCs/>
                <w:sz w:val="18"/>
                <w:szCs w:val="18"/>
              </w:rPr>
              <w:t>Kirjeldage uuringu eesmärke</w:t>
            </w:r>
            <w:r w:rsidR="00F27D21" w:rsidRPr="00717AA9">
              <w:rPr>
                <w:i/>
                <w:iCs/>
                <w:sz w:val="18"/>
                <w:szCs w:val="18"/>
              </w:rPr>
              <w:t xml:space="preserve"> ja </w:t>
            </w:r>
            <w:r w:rsidRPr="00717AA9">
              <w:rPr>
                <w:i/>
                <w:iCs/>
                <w:sz w:val="18"/>
                <w:szCs w:val="18"/>
              </w:rPr>
              <w:t>püstitatud hüpoteese, mille saavutamiseks on vajalik isikuandmete töötlemine</w:t>
            </w:r>
            <w:r w:rsidR="00B4159C" w:rsidRPr="00717AA9">
              <w:rPr>
                <w:i/>
                <w:iCs/>
                <w:sz w:val="18"/>
                <w:szCs w:val="18"/>
              </w:rPr>
              <w:t>.</w:t>
            </w:r>
            <w:r w:rsidR="00B4159C" w:rsidRPr="00717AA9">
              <w:rPr>
                <w:i/>
                <w:iCs/>
                <w:sz w:val="16"/>
                <w:szCs w:val="16"/>
              </w:rPr>
              <w:t xml:space="preserve"> </w:t>
            </w:r>
            <w:r w:rsidR="00B4159C" w:rsidRPr="00717AA9">
              <w:rPr>
                <w:i/>
                <w:iCs/>
                <w:sz w:val="18"/>
                <w:szCs w:val="18"/>
              </w:rPr>
              <w:t>Palume siin punktis selgitada kogu uuringut, mitte ainult taotluse esemeks olevat osa (</w:t>
            </w:r>
            <w:r w:rsidR="00CC0A20" w:rsidRPr="00717AA9">
              <w:rPr>
                <w:i/>
                <w:iCs/>
                <w:sz w:val="18"/>
                <w:szCs w:val="18"/>
              </w:rPr>
              <w:t>näitaks ka</w:t>
            </w:r>
            <w:r w:rsidR="00B4159C" w:rsidRPr="00717AA9">
              <w:rPr>
                <w:i/>
                <w:iCs/>
                <w:sz w:val="18"/>
                <w:szCs w:val="18"/>
              </w:rPr>
              <w:t xml:space="preserve"> nõusoleku alusel toimuvat uuringu osa). </w:t>
            </w:r>
            <w:r w:rsidR="00B4159C" w:rsidRPr="00717AA9">
              <w:rPr>
                <w:rStyle w:val="normaltextrun"/>
                <w:rFonts w:cs="Liberation Serif"/>
                <w:i/>
                <w:iCs/>
                <w:sz w:val="18"/>
                <w:szCs w:val="18"/>
                <w:bdr w:val="none" w:sz="0" w:space="0" w:color="auto" w:frame="1"/>
              </w:rPr>
              <w:t xml:space="preserve">Kui osa uuringust toimub nõusoleku alusel, siis palume taotlusele lisada nõusoleku vorm või selle kavand ning küsimustik </w:t>
            </w:r>
            <w:r w:rsidR="009D206D" w:rsidRPr="00717AA9">
              <w:rPr>
                <w:rStyle w:val="normaltextrun"/>
                <w:rFonts w:cs="Liberation Serif"/>
                <w:i/>
                <w:iCs/>
                <w:sz w:val="18"/>
                <w:szCs w:val="18"/>
                <w:bdr w:val="none" w:sz="0" w:space="0" w:color="auto" w:frame="1"/>
              </w:rPr>
              <w:t>või</w:t>
            </w:r>
            <w:r w:rsidR="00B4159C" w:rsidRPr="00717AA9">
              <w:rPr>
                <w:rStyle w:val="normaltextrun"/>
                <w:rFonts w:cs="Liberation Serif"/>
                <w:i/>
                <w:iCs/>
                <w:sz w:val="18"/>
                <w:szCs w:val="18"/>
                <w:bdr w:val="none" w:sz="0" w:space="0" w:color="auto" w:frame="1"/>
              </w:rPr>
              <w:t xml:space="preserve"> selle kavand.</w:t>
            </w:r>
          </w:p>
          <w:p w14:paraId="0C733EB3" w14:textId="77777777" w:rsidR="00E20D1D" w:rsidRPr="00717AA9" w:rsidRDefault="00E20D1D">
            <w:pPr>
              <w:pStyle w:val="Standard"/>
              <w:rPr>
                <w:b/>
                <w:bCs/>
              </w:rPr>
            </w:pPr>
          </w:p>
          <w:p w14:paraId="3C390529" w14:textId="77777777" w:rsidR="000103CB" w:rsidRDefault="00B03F0E" w:rsidP="007674DF">
            <w:r>
              <w:t>I</w:t>
            </w:r>
            <w:r w:rsidRPr="00B03F0E">
              <w:t>sikuandmete töötlemise eesmärk on selgita</w:t>
            </w:r>
            <w:r>
              <w:t>da</w:t>
            </w:r>
            <w:r w:rsidRPr="00B03F0E">
              <w:t xml:space="preserve"> välja kuivõrd mõjutavad õhusaaste episoodid (päevad, mil õhusaaste hulk on õhus väga kõrge halvenenud saasteainete hajumise tõttu) elanikkonna </w:t>
            </w:r>
            <w:r>
              <w:t>haigestumus</w:t>
            </w:r>
            <w:r w:rsidR="00542113">
              <w:t>t</w:t>
            </w:r>
            <w:r w:rsidRPr="00B03F0E">
              <w:t>.</w:t>
            </w:r>
            <w:r>
              <w:t xml:space="preserve"> </w:t>
            </w:r>
          </w:p>
          <w:p w14:paraId="7287CF35" w14:textId="77777777" w:rsidR="000103CB" w:rsidRDefault="000103CB" w:rsidP="007674DF"/>
          <w:p w14:paraId="5F2511DF" w14:textId="77777777" w:rsidR="000103CB" w:rsidRDefault="000103CB" w:rsidP="007674DF">
            <w:r w:rsidRPr="000103CB">
              <w:t xml:space="preserve">Uurimistöö </w:t>
            </w:r>
            <w:r>
              <w:t>raames</w:t>
            </w:r>
            <w:r w:rsidRPr="000103CB">
              <w:t xml:space="preserve"> tehakse päring Tervisekassale, Eesti Keskkonnauuringute Keskusele ja Keskkonna</w:t>
            </w:r>
            <w:r>
              <w:t>agentuuril</w:t>
            </w:r>
            <w:r w:rsidRPr="000103CB">
              <w:t>e, kus</w:t>
            </w:r>
            <w:r>
              <w:t>t</w:t>
            </w:r>
            <w:r w:rsidRPr="000103CB">
              <w:t xml:space="preserve"> saadakse vastavalt andmed eri päevade haigestumuse, õhusaaste ja meteoroloogiliste näitajate kohta.</w:t>
            </w:r>
          </w:p>
          <w:p w14:paraId="2C2B8E53" w14:textId="77777777" w:rsidR="000103CB" w:rsidRDefault="000103CB" w:rsidP="007674DF"/>
          <w:p w14:paraId="1DFFD8BA" w14:textId="77777777" w:rsidR="00F54BEE" w:rsidRDefault="00F54BEE" w:rsidP="007674DF">
            <w:r>
              <w:t xml:space="preserve">Uuringus testitakse, kas kõrge õhusaastega päevadel ja nendele järgnevatel päevadel suureneb haigestumus ning ravimite tarvitamine. </w:t>
            </w:r>
          </w:p>
          <w:p w14:paraId="7B2A117D" w14:textId="77777777" w:rsidR="00F54BEE" w:rsidRDefault="00F54BEE" w:rsidP="007674DF"/>
          <w:p w14:paraId="17EDD1E9" w14:textId="77777777" w:rsidR="00B03F0E" w:rsidRDefault="00B03F0E" w:rsidP="007674DF">
            <w:r w:rsidRPr="00B03F0E">
              <w:t>Seoste analüüsiks kasutatakse ülehajunud Poissoni regressiooni mudeleid. Siia alla kuuluv jaotatud nihkega mitte-lineaarne mudel võimaldab uurijatel vaadata mitte-lineaarseid seoseid erinevatel juhtudel nagu splaini kõverad, “hokikepp”, astmefunktsioonid jne. Jaotatud nihkega mitte-lineaarne mudel on saadaval R tarkvara paketis dlnm. Antud meetod on kujunenud käesolevaks hetkeks selliste analüüside puhul „standardiks“ ning seda on korduvalt rakendatud ka Eestis eelnevate analüüside teostamise</w:t>
            </w:r>
            <w:r w:rsidR="00F54BEE">
              <w:t>l, kus on uuritud õhusaaste mõju suremusele</w:t>
            </w:r>
            <w:r w:rsidRPr="00B03F0E">
              <w:t>.</w:t>
            </w:r>
          </w:p>
          <w:p w14:paraId="199AA7E5" w14:textId="77777777" w:rsidR="00B03F0E" w:rsidRDefault="00B03F0E" w:rsidP="007674DF"/>
          <w:p w14:paraId="5D27C445" w14:textId="77777777" w:rsidR="00F27D21" w:rsidRPr="00717AA9" w:rsidRDefault="00F54BEE" w:rsidP="007674DF">
            <w:r>
              <w:t>U</w:t>
            </w:r>
            <w:r w:rsidR="007674DF" w:rsidRPr="00717AA9">
              <w:t>uringu lõpus antakse uuringu tulemustest avalikkusele (otsustajad, poliitika-kujundajad, ettevõtted, elanikud jt huvirühmad) teada läbi teabepäevade ning antakse poliitika-soovitused keskkonna- ja tervisepoliitika ning sekkumismeetmete kujundamiseks.</w:t>
            </w:r>
          </w:p>
          <w:p w14:paraId="59A1813A" w14:textId="77777777" w:rsidR="00E20D1D" w:rsidRPr="00717AA9" w:rsidRDefault="00E20D1D">
            <w:pPr>
              <w:pStyle w:val="Standard"/>
              <w:rPr>
                <w:b/>
                <w:bCs/>
              </w:rPr>
            </w:pPr>
          </w:p>
        </w:tc>
      </w:tr>
    </w:tbl>
    <w:p w14:paraId="021C69B4" w14:textId="77777777" w:rsidR="00996CED" w:rsidRPr="00717AA9" w:rsidRDefault="00996CED">
      <w:pPr>
        <w:pStyle w:val="Standard"/>
        <w:rPr>
          <w:b/>
          <w:bCs/>
        </w:rPr>
      </w:pPr>
    </w:p>
    <w:p w14:paraId="170FE0C8" w14:textId="77777777" w:rsidR="008161F0" w:rsidRPr="00717AA9" w:rsidRDefault="008161F0">
      <w:pPr>
        <w:pStyle w:val="Standard"/>
        <w:rPr>
          <w:b/>
          <w:bCs/>
        </w:rPr>
      </w:pPr>
    </w:p>
    <w:tbl>
      <w:tblPr>
        <w:tblStyle w:val="TableGrid"/>
        <w:tblW w:w="0" w:type="auto"/>
        <w:tblLook w:val="04A0" w:firstRow="1" w:lastRow="0" w:firstColumn="1" w:lastColumn="0" w:noHBand="0" w:noVBand="1"/>
      </w:tblPr>
      <w:tblGrid>
        <w:gridCol w:w="9628"/>
      </w:tblGrid>
      <w:tr w:rsidR="00996CED" w:rsidRPr="00717AA9" w14:paraId="14067829" w14:textId="77777777" w:rsidTr="00996CED">
        <w:tc>
          <w:tcPr>
            <w:tcW w:w="9628" w:type="dxa"/>
          </w:tcPr>
          <w:p w14:paraId="572F0996" w14:textId="77777777" w:rsidR="005838C4" w:rsidRDefault="00996CED" w:rsidP="00B4159C">
            <w:pPr>
              <w:pStyle w:val="Standard"/>
              <w:jc w:val="both"/>
              <w:rPr>
                <w:b/>
                <w:bCs/>
              </w:rPr>
            </w:pPr>
            <w:r w:rsidRPr="00717AA9">
              <w:rPr>
                <w:b/>
                <w:bCs/>
              </w:rPr>
              <w:t>5. Selgitage, miks on isikut tuvastamist võimaldavate andmete töötlemine vältimatult vajalik uuringu eesmärgi saavutamiseks</w:t>
            </w:r>
            <w:r w:rsidR="007D58EE" w:rsidRPr="00717AA9">
              <w:rPr>
                <w:b/>
                <w:bCs/>
              </w:rPr>
              <w:t>.</w:t>
            </w:r>
          </w:p>
          <w:p w14:paraId="428FA16C" w14:textId="77777777" w:rsidR="00356BB9" w:rsidRPr="00717AA9" w:rsidRDefault="00356BB9" w:rsidP="00B4159C">
            <w:pPr>
              <w:pStyle w:val="Standard"/>
              <w:jc w:val="both"/>
              <w:rPr>
                <w:b/>
                <w:bCs/>
              </w:rPr>
            </w:pPr>
          </w:p>
          <w:p w14:paraId="1B309596" w14:textId="77777777" w:rsidR="00996CED" w:rsidRPr="00717AA9" w:rsidRDefault="00F54BEE">
            <w:pPr>
              <w:pStyle w:val="Standard"/>
              <w:rPr>
                <w:b/>
                <w:bCs/>
              </w:rPr>
            </w:pPr>
            <w:r>
              <w:t xml:space="preserve">Käesolevas uuringus kasutatakse </w:t>
            </w:r>
            <w:r w:rsidRPr="00F54BEE">
              <w:t>anonümiseerit</w:t>
            </w:r>
            <w:r>
              <w:t>ud</w:t>
            </w:r>
            <w:r w:rsidRPr="00F54BEE">
              <w:t xml:space="preserve"> </w:t>
            </w:r>
            <w:r>
              <w:t>andmeid, mis ei võimalda isiku tuvastamist.</w:t>
            </w:r>
          </w:p>
          <w:p w14:paraId="31E75DCE" w14:textId="77777777" w:rsidR="00996CED" w:rsidRPr="00717AA9" w:rsidRDefault="00996CED">
            <w:pPr>
              <w:pStyle w:val="Standard"/>
              <w:rPr>
                <w:b/>
                <w:bCs/>
              </w:rPr>
            </w:pPr>
          </w:p>
        </w:tc>
      </w:tr>
    </w:tbl>
    <w:p w14:paraId="573C8BF1" w14:textId="77777777" w:rsidR="00996CED" w:rsidRPr="00717AA9" w:rsidRDefault="00996CED">
      <w:pPr>
        <w:pStyle w:val="Standard"/>
        <w:rPr>
          <w:b/>
          <w:bCs/>
        </w:rPr>
      </w:pPr>
    </w:p>
    <w:p w14:paraId="48D18E97" w14:textId="77777777" w:rsidR="008161F0" w:rsidRPr="00717AA9" w:rsidRDefault="008161F0">
      <w:pPr>
        <w:pStyle w:val="Standard"/>
        <w:rPr>
          <w:b/>
          <w:bCs/>
        </w:rPr>
      </w:pPr>
    </w:p>
    <w:tbl>
      <w:tblPr>
        <w:tblStyle w:val="TableGrid"/>
        <w:tblW w:w="0" w:type="auto"/>
        <w:tblLook w:val="04A0" w:firstRow="1" w:lastRow="0" w:firstColumn="1" w:lastColumn="0" w:noHBand="0" w:noVBand="1"/>
      </w:tblPr>
      <w:tblGrid>
        <w:gridCol w:w="9628"/>
      </w:tblGrid>
      <w:tr w:rsidR="00996CED" w:rsidRPr="00717AA9" w14:paraId="7E5260EE" w14:textId="77777777" w:rsidTr="00996CED">
        <w:tc>
          <w:tcPr>
            <w:tcW w:w="9628" w:type="dxa"/>
          </w:tcPr>
          <w:p w14:paraId="2A58223B" w14:textId="77777777" w:rsidR="00996CED" w:rsidRPr="00717AA9" w:rsidRDefault="00996CED">
            <w:pPr>
              <w:pStyle w:val="Standard"/>
              <w:rPr>
                <w:b/>
                <w:bCs/>
              </w:rPr>
            </w:pPr>
            <w:r w:rsidRPr="00717AA9">
              <w:rPr>
                <w:b/>
                <w:bCs/>
              </w:rPr>
              <w:t>6. Selgitage ülekaaluka huvi olemasolu</w:t>
            </w:r>
            <w:r w:rsidR="007D58EE" w:rsidRPr="00717AA9">
              <w:rPr>
                <w:b/>
                <w:bCs/>
              </w:rPr>
              <w:t>.</w:t>
            </w:r>
          </w:p>
          <w:p w14:paraId="1225F014" w14:textId="77777777" w:rsidR="00996CED" w:rsidRPr="00717AA9" w:rsidRDefault="00996CED">
            <w:pPr>
              <w:pStyle w:val="Standard"/>
              <w:rPr>
                <w:b/>
                <w:bCs/>
              </w:rPr>
            </w:pPr>
          </w:p>
          <w:p w14:paraId="5477DD0C" w14:textId="77777777" w:rsidR="00F54BEE" w:rsidRDefault="00F54BEE" w:rsidP="00F54BEE">
            <w:r>
              <w:t>K</w:t>
            </w:r>
            <w:r w:rsidRPr="000640FD">
              <w:t>eskkond mõjutab olulisel määral inimeste tervist. Ligi 12.6 miljonit varajast surma võib igal aastal seostada ebatervisliku elukeskkonnaga (Prüss-Ustün jt., 2016). Keskkonna saastatuse või halbade/äärmuslike keskkonnatingimuste haigestuvad inimesed kroonilistesse haigustesse, nende haigusseisund võib halveneda, tekivad traumad või muud akuutsed terviseprobleemid ning inimesed surevad mõnevõrra varem kui nad oleksid võinud (vt näiteks WHO, 2013 ülevaadet).</w:t>
            </w:r>
          </w:p>
          <w:p w14:paraId="1567EE87" w14:textId="77777777" w:rsidR="00F54BEE" w:rsidRDefault="00F54BEE" w:rsidP="00A33EC9">
            <w:pPr>
              <w:rPr>
                <w:bCs/>
              </w:rPr>
            </w:pPr>
          </w:p>
          <w:p w14:paraId="4F366A5D" w14:textId="77777777" w:rsidR="00F54BEE" w:rsidRDefault="00F42F5D" w:rsidP="00A33EC9">
            <w:pPr>
              <w:rPr>
                <w:bCs/>
              </w:rPr>
            </w:pPr>
            <w:r w:rsidRPr="00F42F5D">
              <w:rPr>
                <w:bCs/>
              </w:rPr>
              <w:t xml:space="preserve">Johtuvalt </w:t>
            </w:r>
            <w:r w:rsidR="00F54BEE">
              <w:rPr>
                <w:bCs/>
              </w:rPr>
              <w:t xml:space="preserve">Tartu Ülikooli </w:t>
            </w:r>
            <w:r w:rsidRPr="00F42F5D">
              <w:rPr>
                <w:bCs/>
              </w:rPr>
              <w:t>eelnevatest uuringutest sureb igal aastal õhusaaste tõttu Eesti</w:t>
            </w:r>
            <w:r w:rsidR="000640FD">
              <w:rPr>
                <w:bCs/>
              </w:rPr>
              <w:t>s</w:t>
            </w:r>
            <w:r w:rsidRPr="00F42F5D">
              <w:rPr>
                <w:bCs/>
              </w:rPr>
              <w:t xml:space="preserve"> enam kui tuhat inimest varem kui võiks. </w:t>
            </w:r>
            <w:r w:rsidR="000640FD">
              <w:rPr>
                <w:bCs/>
              </w:rPr>
              <w:t>Siiani puudub info, kui suur mõju on haigestumisele ja haiguste ägenemisele. Niisamuti puudub teadmine, milliste õhusaaste väärtuste juures algab haiguste ägenemine</w:t>
            </w:r>
            <w:r w:rsidR="00B03F0E">
              <w:rPr>
                <w:bCs/>
              </w:rPr>
              <w:t xml:space="preserve"> ja johtuvalt sellelt, millal peaks tundlikke isikuid hoiatama. </w:t>
            </w:r>
          </w:p>
          <w:p w14:paraId="759B49E6" w14:textId="77777777" w:rsidR="00F54BEE" w:rsidRDefault="00F54BEE" w:rsidP="00A33EC9">
            <w:pPr>
              <w:rPr>
                <w:bCs/>
              </w:rPr>
            </w:pPr>
          </w:p>
          <w:p w14:paraId="616EEDC5" w14:textId="77777777" w:rsidR="00996CED" w:rsidRDefault="00F54BEE" w:rsidP="00A33EC9">
            <w:pPr>
              <w:rPr>
                <w:bCs/>
              </w:rPr>
            </w:pPr>
            <w:r>
              <w:rPr>
                <w:bCs/>
              </w:rPr>
              <w:t xml:space="preserve">Käesoleva uuringu alusel on võimalik teada saada, kas ja milliste õhusaaste tasemete juures </w:t>
            </w:r>
            <w:r>
              <w:rPr>
                <w:bCs/>
              </w:rPr>
              <w:lastRenderedPageBreak/>
              <w:t>algavad tervisemõjud, kui suured need mõjud on ning milliseid meetmeid peaks ette võtma nende mõjude vähendamiseks.</w:t>
            </w:r>
          </w:p>
          <w:p w14:paraId="77A48A16" w14:textId="77777777" w:rsidR="00F54BEE" w:rsidRPr="00F42F5D" w:rsidRDefault="00F54BEE" w:rsidP="00A33EC9">
            <w:pPr>
              <w:rPr>
                <w:bCs/>
              </w:rPr>
            </w:pPr>
          </w:p>
        </w:tc>
      </w:tr>
    </w:tbl>
    <w:p w14:paraId="395D7CE1" w14:textId="77777777" w:rsidR="00996CED" w:rsidRPr="00717AA9" w:rsidRDefault="00996CED">
      <w:pPr>
        <w:pStyle w:val="Standard"/>
        <w:rPr>
          <w:b/>
          <w:bCs/>
        </w:rPr>
      </w:pPr>
    </w:p>
    <w:p w14:paraId="528C854D" w14:textId="77777777" w:rsidR="008161F0" w:rsidRPr="00717AA9" w:rsidRDefault="008161F0">
      <w:pPr>
        <w:pStyle w:val="Standard"/>
        <w:rPr>
          <w:b/>
          <w:bCs/>
        </w:rPr>
      </w:pPr>
    </w:p>
    <w:tbl>
      <w:tblPr>
        <w:tblStyle w:val="TableGrid"/>
        <w:tblW w:w="0" w:type="auto"/>
        <w:tblLook w:val="04A0" w:firstRow="1" w:lastRow="0" w:firstColumn="1" w:lastColumn="0" w:noHBand="0" w:noVBand="1"/>
      </w:tblPr>
      <w:tblGrid>
        <w:gridCol w:w="9628"/>
      </w:tblGrid>
      <w:tr w:rsidR="00996CED" w:rsidRPr="00717AA9" w14:paraId="0683C9DC" w14:textId="77777777" w:rsidTr="00996CED">
        <w:tc>
          <w:tcPr>
            <w:tcW w:w="9628" w:type="dxa"/>
          </w:tcPr>
          <w:p w14:paraId="73E2B256" w14:textId="77777777" w:rsidR="00996CED" w:rsidRPr="00717AA9" w:rsidRDefault="00996CED" w:rsidP="00B4159C">
            <w:pPr>
              <w:pStyle w:val="Standard"/>
              <w:jc w:val="both"/>
              <w:rPr>
                <w:b/>
                <w:bCs/>
              </w:rPr>
            </w:pPr>
            <w:r w:rsidRPr="00717AA9">
              <w:rPr>
                <w:b/>
                <w:bCs/>
              </w:rPr>
              <w:t xml:space="preserve">7. Selgitage, kuidas tagate, et </w:t>
            </w:r>
            <w:r w:rsidR="002E7BB7" w:rsidRPr="00717AA9">
              <w:rPr>
                <w:b/>
                <w:bCs/>
              </w:rPr>
              <w:t>isikuandmete</w:t>
            </w:r>
            <w:r w:rsidRPr="00717AA9">
              <w:rPr>
                <w:b/>
                <w:bCs/>
              </w:rPr>
              <w:t xml:space="preserve"> töötlemine ei kahjusta ülemääraselt andmesubjekti õigusi ega muuda tema kohustuste mahtu</w:t>
            </w:r>
            <w:r w:rsidR="007D58EE" w:rsidRPr="00717AA9">
              <w:rPr>
                <w:b/>
                <w:bCs/>
              </w:rPr>
              <w:t>.</w:t>
            </w:r>
          </w:p>
          <w:p w14:paraId="5AE08580" w14:textId="77777777" w:rsidR="00882FDB" w:rsidRPr="00717AA9" w:rsidRDefault="00882FDB">
            <w:pPr>
              <w:pStyle w:val="Standard"/>
              <w:rPr>
                <w:i/>
                <w:iCs/>
                <w:sz w:val="18"/>
                <w:szCs w:val="18"/>
              </w:rPr>
            </w:pPr>
            <w:r w:rsidRPr="00717AA9">
              <w:rPr>
                <w:i/>
                <w:iCs/>
                <w:sz w:val="18"/>
                <w:szCs w:val="18"/>
              </w:rPr>
              <w:t>Vajadusel loetleda täiendavaid kaitsemeetmeid</w:t>
            </w:r>
            <w:r w:rsidR="00D53520" w:rsidRPr="00717AA9">
              <w:rPr>
                <w:i/>
                <w:iCs/>
                <w:sz w:val="18"/>
                <w:szCs w:val="18"/>
              </w:rPr>
              <w:t xml:space="preserve"> privaatsuse riive </w:t>
            </w:r>
            <w:r w:rsidR="003F2899" w:rsidRPr="00717AA9">
              <w:rPr>
                <w:i/>
                <w:iCs/>
                <w:sz w:val="18"/>
                <w:szCs w:val="18"/>
              </w:rPr>
              <w:t>vähendamiseks</w:t>
            </w:r>
            <w:r w:rsidR="00767986" w:rsidRPr="00717AA9">
              <w:rPr>
                <w:i/>
                <w:iCs/>
                <w:sz w:val="18"/>
                <w:szCs w:val="18"/>
              </w:rPr>
              <w:t>.</w:t>
            </w:r>
          </w:p>
          <w:p w14:paraId="726E6DDE" w14:textId="77777777" w:rsidR="00996CED" w:rsidRPr="00717AA9" w:rsidRDefault="00996CED">
            <w:pPr>
              <w:pStyle w:val="Standard"/>
              <w:rPr>
                <w:b/>
                <w:bCs/>
              </w:rPr>
            </w:pPr>
          </w:p>
          <w:p w14:paraId="1179CCD8" w14:textId="77777777" w:rsidR="00712A87" w:rsidRPr="00717AA9" w:rsidRDefault="00943D74" w:rsidP="003117E6">
            <w:pPr>
              <w:pStyle w:val="Standard"/>
            </w:pPr>
            <w:r w:rsidRPr="00943D74">
              <w:t xml:space="preserve">Andmed päritakse </w:t>
            </w:r>
            <w:r>
              <w:t>Tervisekassast</w:t>
            </w:r>
            <w:r w:rsidRPr="00943D74">
              <w:t xml:space="preserve"> anonüümselt, ei küsita uuritavate isikukoode, </w:t>
            </w:r>
            <w:r>
              <w:t xml:space="preserve">täpseid </w:t>
            </w:r>
            <w:r w:rsidRPr="00943D74">
              <w:t>aadresse, kontaktandmeid ega ka sünnikuupäevi. Vastavalt IKS§ 6 lg 3 punktile kaks on teadusuuringu läbiviijate  hinnangul antud uuringuks ülekaalukas avalik huvi, kuna õhusaaste episoodid ning äärmuslikud ilmaolud (näiteks kuumalained) põhjustavad eeldatavalt tuhandeid ravijuhte igal aastal (ainuüksi varajast suremust nende tõttu on hinnatud enam kui tuhandele juhule Eestis igal aastal) ja seetõttu on antud uurimistöö oluline rahvatervise seisukohalt. Vastavalt IKS§ 6 lg 3 kolmandale punktile uuritavate haigestumise põhjuste kaasamisega analüüsi ei muudeta andmesubjekti kohustuste mahtu ega kahjustata muul viisil ülemäära andmesubjekti õigusi. Täpne haigestum</w:t>
            </w:r>
            <w:r>
              <w:t>i</w:t>
            </w:r>
            <w:r w:rsidRPr="00943D74">
              <w:t>se kuupäev on vajalik statistilise analüüsi tegemiseks. Nii saame siduda konkreetsed juhul teatud päevadega kui näiteks õhk oli enam saastunud halbade hajumistingi</w:t>
            </w:r>
            <w:r>
              <w:t>m</w:t>
            </w:r>
            <w:r w:rsidRPr="00943D74">
              <w:t>uste tõttu.</w:t>
            </w:r>
          </w:p>
          <w:p w14:paraId="08B4433A" w14:textId="77777777" w:rsidR="00996CED" w:rsidRPr="00717AA9" w:rsidRDefault="00996CED">
            <w:pPr>
              <w:pStyle w:val="Standard"/>
              <w:rPr>
                <w:b/>
                <w:bCs/>
              </w:rPr>
            </w:pPr>
          </w:p>
        </w:tc>
      </w:tr>
    </w:tbl>
    <w:p w14:paraId="08E3C2D5" w14:textId="77777777" w:rsidR="00996CED" w:rsidRPr="00717AA9" w:rsidRDefault="00996CED">
      <w:pPr>
        <w:pStyle w:val="Standard"/>
        <w:rPr>
          <w:b/>
          <w:bCs/>
        </w:rPr>
      </w:pPr>
    </w:p>
    <w:p w14:paraId="24B62AEA" w14:textId="77777777" w:rsidR="008161F0" w:rsidRPr="00717AA9" w:rsidRDefault="008161F0">
      <w:pPr>
        <w:pStyle w:val="Standard"/>
        <w:rPr>
          <w:b/>
          <w:bCs/>
        </w:rPr>
      </w:pPr>
    </w:p>
    <w:tbl>
      <w:tblPr>
        <w:tblStyle w:val="TableGrid"/>
        <w:tblW w:w="0" w:type="auto"/>
        <w:tblLook w:val="04A0" w:firstRow="1" w:lastRow="0" w:firstColumn="1" w:lastColumn="0" w:noHBand="0" w:noVBand="1"/>
      </w:tblPr>
      <w:tblGrid>
        <w:gridCol w:w="9628"/>
      </w:tblGrid>
      <w:tr w:rsidR="00996CED" w:rsidRPr="00717AA9" w14:paraId="2B4F3629" w14:textId="77777777" w:rsidTr="00996CED">
        <w:tc>
          <w:tcPr>
            <w:tcW w:w="9628" w:type="dxa"/>
          </w:tcPr>
          <w:p w14:paraId="7B991C0F" w14:textId="77777777" w:rsidR="00E20D1D" w:rsidRPr="00717AA9" w:rsidRDefault="00996CED" w:rsidP="00B4159C">
            <w:pPr>
              <w:pStyle w:val="Standard"/>
              <w:jc w:val="both"/>
              <w:rPr>
                <w:b/>
                <w:bCs/>
              </w:rPr>
            </w:pPr>
            <w:r w:rsidRPr="00717AA9">
              <w:rPr>
                <w:b/>
                <w:bCs/>
              </w:rPr>
              <w:t xml:space="preserve">8. </w:t>
            </w:r>
            <w:r w:rsidR="000C3BFC" w:rsidRPr="00717AA9">
              <w:rPr>
                <w:b/>
                <w:bCs/>
              </w:rPr>
              <w:t>K</w:t>
            </w:r>
            <w:r w:rsidRPr="00717AA9">
              <w:rPr>
                <w:b/>
                <w:bCs/>
              </w:rPr>
              <w:t>uidas toimub andmete edastamine isikuandmete allikalt teadusuuringu läbiviijani</w:t>
            </w:r>
            <w:r w:rsidR="000C3BFC" w:rsidRPr="00717AA9">
              <w:rPr>
                <w:b/>
                <w:bCs/>
              </w:rPr>
              <w:t>?</w:t>
            </w:r>
            <w:r w:rsidR="00B4159C" w:rsidRPr="00717AA9">
              <w:rPr>
                <w:b/>
                <w:bCs/>
              </w:rPr>
              <w:t xml:space="preserve"> </w:t>
            </w:r>
            <w:r w:rsidR="00B4159C" w:rsidRPr="00F54BEE">
              <w:rPr>
                <w:i/>
                <w:sz w:val="18"/>
                <w:szCs w:val="18"/>
              </w:rPr>
              <w:t>Sealhulgas palume välja tuua mil</w:t>
            </w:r>
            <w:r w:rsidR="00E20D1D" w:rsidRPr="00F54BEE">
              <w:rPr>
                <w:i/>
                <w:sz w:val="18"/>
                <w:szCs w:val="18"/>
              </w:rPr>
              <w:t>liseid töötlussüsteeme</w:t>
            </w:r>
            <w:r w:rsidR="002E7BB7" w:rsidRPr="00F54BEE">
              <w:rPr>
                <w:i/>
                <w:sz w:val="18"/>
                <w:szCs w:val="18"/>
              </w:rPr>
              <w:t xml:space="preserve"> ja/või </w:t>
            </w:r>
            <w:r w:rsidR="006A3689" w:rsidRPr="00F54BEE">
              <w:rPr>
                <w:i/>
                <w:sz w:val="18"/>
                <w:szCs w:val="18"/>
              </w:rPr>
              <w:t>keskkondi</w:t>
            </w:r>
            <w:r w:rsidR="002E7BB7" w:rsidRPr="00F54BEE">
              <w:rPr>
                <w:i/>
                <w:sz w:val="18"/>
                <w:szCs w:val="18"/>
              </w:rPr>
              <w:t xml:space="preserve"> (sh pilveteenus)</w:t>
            </w:r>
            <w:r w:rsidR="00E20D1D" w:rsidRPr="00F54BEE">
              <w:rPr>
                <w:i/>
                <w:sz w:val="18"/>
                <w:szCs w:val="18"/>
              </w:rPr>
              <w:t xml:space="preserve"> isikuandmete </w:t>
            </w:r>
            <w:r w:rsidR="00614698" w:rsidRPr="00F54BEE">
              <w:rPr>
                <w:i/>
                <w:sz w:val="18"/>
                <w:szCs w:val="18"/>
              </w:rPr>
              <w:t xml:space="preserve">(sh pseudonüümitud) </w:t>
            </w:r>
            <w:r w:rsidR="00E20D1D" w:rsidRPr="00F54BEE">
              <w:rPr>
                <w:i/>
                <w:sz w:val="18"/>
                <w:szCs w:val="18"/>
              </w:rPr>
              <w:t>töötlemiseks</w:t>
            </w:r>
            <w:r w:rsidR="00C157F0" w:rsidRPr="00F54BEE">
              <w:rPr>
                <w:i/>
                <w:sz w:val="18"/>
                <w:szCs w:val="18"/>
              </w:rPr>
              <w:t xml:space="preserve"> </w:t>
            </w:r>
            <w:r w:rsidR="00E20D1D" w:rsidRPr="00F54BEE">
              <w:rPr>
                <w:i/>
                <w:sz w:val="18"/>
                <w:szCs w:val="18"/>
              </w:rPr>
              <w:t>kasutatakse</w:t>
            </w:r>
            <w:r w:rsidR="002E7BB7" w:rsidRPr="00F54BEE">
              <w:rPr>
                <w:i/>
                <w:sz w:val="18"/>
                <w:szCs w:val="18"/>
              </w:rPr>
              <w:t xml:space="preserve"> </w:t>
            </w:r>
            <w:r w:rsidR="00C157F0" w:rsidRPr="00F54BEE">
              <w:rPr>
                <w:i/>
                <w:sz w:val="18"/>
                <w:szCs w:val="18"/>
              </w:rPr>
              <w:t>ning</w:t>
            </w:r>
            <w:r w:rsidR="00E20D1D" w:rsidRPr="00F54BEE">
              <w:rPr>
                <w:i/>
                <w:sz w:val="18"/>
                <w:szCs w:val="18"/>
              </w:rPr>
              <w:t xml:space="preserve"> millises riigis</w:t>
            </w:r>
            <w:r w:rsidR="00E20D1D" w:rsidRPr="00F54BEE">
              <w:rPr>
                <w:rStyle w:val="FootnoteReference"/>
                <w:i/>
                <w:sz w:val="18"/>
                <w:szCs w:val="18"/>
              </w:rPr>
              <w:footnoteReference w:id="4"/>
            </w:r>
            <w:r w:rsidR="00E20D1D" w:rsidRPr="00F54BEE">
              <w:rPr>
                <w:i/>
                <w:sz w:val="18"/>
                <w:szCs w:val="18"/>
              </w:rPr>
              <w:t xml:space="preserve"> asuvad töötlussüsteemide/pilveteenuse pakkuja serverid.</w:t>
            </w:r>
            <w:r w:rsidR="00E20D1D" w:rsidRPr="00717AA9">
              <w:rPr>
                <w:b/>
                <w:bCs/>
              </w:rPr>
              <w:t xml:space="preserve"> </w:t>
            </w:r>
          </w:p>
          <w:p w14:paraId="3BD66F79" w14:textId="77777777" w:rsidR="00BC4332" w:rsidRPr="00717AA9" w:rsidRDefault="00BC4332" w:rsidP="00B4159C">
            <w:pPr>
              <w:pStyle w:val="Standard"/>
              <w:jc w:val="both"/>
              <w:rPr>
                <w:b/>
                <w:bCs/>
              </w:rPr>
            </w:pPr>
          </w:p>
          <w:p w14:paraId="2C7F50E5" w14:textId="77777777" w:rsidR="00996CED" w:rsidRPr="00712A87" w:rsidRDefault="00712A87" w:rsidP="00712A87">
            <w:pPr>
              <w:pStyle w:val="Standard"/>
              <w:rPr>
                <w:bCs/>
              </w:rPr>
            </w:pPr>
            <w:r>
              <w:rPr>
                <w:bCs/>
              </w:rPr>
              <w:t>Tervisekassa edastab andmed vastutavale uurijale krüpteeritud kujul. Saadud andmeid hoitakse Tartu Ülikooli serveris kataloogis, millele on juurdepääs vaid vastutavalt uurijal Hans Orru ja uurimistöö täitjal Triin Veberil. Uurimistööks vajalikuks statistiliseks analüüsiks kasutatakse tarkvara R, mis on paigaldatud Tartu Ülikooli arvutisse.</w:t>
            </w:r>
          </w:p>
        </w:tc>
      </w:tr>
    </w:tbl>
    <w:p w14:paraId="18DD9BFD" w14:textId="77777777" w:rsidR="005838C4" w:rsidRPr="00717AA9" w:rsidRDefault="005838C4">
      <w:pPr>
        <w:pStyle w:val="Standard"/>
        <w:rPr>
          <w:b/>
          <w:bCs/>
        </w:rPr>
      </w:pPr>
    </w:p>
    <w:p w14:paraId="08B5EB44" w14:textId="77777777" w:rsidR="008161F0" w:rsidRPr="00717AA9" w:rsidRDefault="008161F0">
      <w:pPr>
        <w:pStyle w:val="Standard"/>
        <w:rPr>
          <w:b/>
          <w:bCs/>
        </w:rPr>
      </w:pPr>
    </w:p>
    <w:p w14:paraId="460F4594" w14:textId="77777777" w:rsidR="008161F0" w:rsidRPr="00717AA9" w:rsidRDefault="008161F0">
      <w:pPr>
        <w:pStyle w:val="Standard"/>
        <w:rPr>
          <w:b/>
          <w:bCs/>
        </w:rPr>
      </w:pPr>
    </w:p>
    <w:tbl>
      <w:tblPr>
        <w:tblStyle w:val="TableGrid"/>
        <w:tblW w:w="0" w:type="auto"/>
        <w:tblLook w:val="04A0" w:firstRow="1" w:lastRow="0" w:firstColumn="1" w:lastColumn="0" w:noHBand="0" w:noVBand="1"/>
      </w:tblPr>
      <w:tblGrid>
        <w:gridCol w:w="9628"/>
      </w:tblGrid>
      <w:tr w:rsidR="00717AA9" w:rsidRPr="00717AA9" w14:paraId="5B63FCAE" w14:textId="77777777" w:rsidTr="005838C4">
        <w:tc>
          <w:tcPr>
            <w:tcW w:w="9628" w:type="dxa"/>
          </w:tcPr>
          <w:p w14:paraId="52ED093E" w14:textId="77777777" w:rsidR="005838C4" w:rsidRPr="00717AA9" w:rsidRDefault="003F2899" w:rsidP="005838C4">
            <w:pPr>
              <w:pStyle w:val="Standard"/>
              <w:rPr>
                <w:b/>
                <w:bCs/>
              </w:rPr>
            </w:pPr>
            <w:r w:rsidRPr="00717AA9">
              <w:rPr>
                <w:b/>
                <w:bCs/>
              </w:rPr>
              <w:t>9</w:t>
            </w:r>
            <w:r w:rsidR="005838C4" w:rsidRPr="00717AA9">
              <w:rPr>
                <w:b/>
                <w:bCs/>
              </w:rPr>
              <w:t>.</w:t>
            </w:r>
            <w:r w:rsidR="00614698" w:rsidRPr="00717AA9">
              <w:rPr>
                <w:b/>
                <w:bCs/>
              </w:rPr>
              <w:t xml:space="preserve"> Loetlege</w:t>
            </w:r>
            <w:r w:rsidR="005838C4" w:rsidRPr="00717AA9">
              <w:rPr>
                <w:b/>
                <w:bCs/>
              </w:rPr>
              <w:t xml:space="preserve"> </w:t>
            </w:r>
            <w:r w:rsidR="00614698" w:rsidRPr="00717AA9">
              <w:rPr>
                <w:b/>
                <w:bCs/>
              </w:rPr>
              <w:t>i</w:t>
            </w:r>
            <w:r w:rsidR="00E20D1D" w:rsidRPr="00717AA9">
              <w:rPr>
                <w:b/>
                <w:bCs/>
              </w:rPr>
              <w:t>sikute kategooriad, kelle andmeid töödeldakse ning valimi suurus</w:t>
            </w:r>
            <w:r w:rsidR="00767986" w:rsidRPr="00717AA9">
              <w:rPr>
                <w:b/>
                <w:bCs/>
              </w:rPr>
              <w:t>.</w:t>
            </w:r>
          </w:p>
          <w:p w14:paraId="6A887E7D" w14:textId="77777777" w:rsidR="00E20D1D" w:rsidRDefault="00F5773C" w:rsidP="00E20D1D">
            <w:pPr>
              <w:pStyle w:val="Standard"/>
              <w:rPr>
                <w:i/>
                <w:iCs/>
                <w:sz w:val="18"/>
                <w:szCs w:val="18"/>
              </w:rPr>
            </w:pPr>
            <w:r w:rsidRPr="00717AA9">
              <w:rPr>
                <w:i/>
                <w:iCs/>
                <w:sz w:val="18"/>
                <w:szCs w:val="18"/>
              </w:rPr>
              <w:t>Inimeste</w:t>
            </w:r>
            <w:r w:rsidR="00E20D1D" w:rsidRPr="00717AA9">
              <w:rPr>
                <w:i/>
                <w:iCs/>
                <w:sz w:val="18"/>
                <w:szCs w:val="18"/>
              </w:rPr>
              <w:t xml:space="preserve"> rühmad, keda uurida </w:t>
            </w:r>
            <w:r w:rsidR="008161F0" w:rsidRPr="00717AA9">
              <w:rPr>
                <w:i/>
                <w:iCs/>
                <w:sz w:val="18"/>
                <w:szCs w:val="18"/>
              </w:rPr>
              <w:t xml:space="preserve">kavatsetakse ning </w:t>
            </w:r>
            <w:r w:rsidR="00E20D1D" w:rsidRPr="00717AA9">
              <w:rPr>
                <w:i/>
                <w:iCs/>
                <w:sz w:val="18"/>
                <w:szCs w:val="18"/>
              </w:rPr>
              <w:t>kui palju neid on</w:t>
            </w:r>
            <w:r w:rsidR="00D26E3F" w:rsidRPr="00717AA9">
              <w:rPr>
                <w:i/>
                <w:iCs/>
                <w:sz w:val="18"/>
                <w:szCs w:val="18"/>
              </w:rPr>
              <w:t>.</w:t>
            </w:r>
          </w:p>
          <w:p w14:paraId="116981FE" w14:textId="77777777" w:rsidR="000640FD" w:rsidRPr="00717AA9" w:rsidRDefault="000640FD" w:rsidP="00E20D1D">
            <w:pPr>
              <w:pStyle w:val="Standard"/>
              <w:rPr>
                <w:i/>
                <w:iCs/>
                <w:sz w:val="18"/>
                <w:szCs w:val="18"/>
              </w:rPr>
            </w:pPr>
          </w:p>
          <w:p w14:paraId="17AC9510" w14:textId="77777777" w:rsidR="005838C4" w:rsidRDefault="00712A87" w:rsidP="00712A87">
            <w:pPr>
              <w:rPr>
                <w:bCs/>
              </w:rPr>
            </w:pPr>
            <w:r w:rsidRPr="00712A87">
              <w:rPr>
                <w:bCs/>
              </w:rPr>
              <w:t xml:space="preserve">Kõik Tervisekassa </w:t>
            </w:r>
            <w:r>
              <w:rPr>
                <w:bCs/>
              </w:rPr>
              <w:t>ravijuhud ja välja kirjutatud retseptiravimid. Potentsiaalselt pea kõik Eesti ravikindlustatud elanikud (1,3 milj isikut).</w:t>
            </w:r>
          </w:p>
          <w:p w14:paraId="52DF4B99" w14:textId="77777777" w:rsidR="00943D74" w:rsidRPr="00712A87" w:rsidRDefault="00943D74" w:rsidP="00712A87">
            <w:pPr>
              <w:rPr>
                <w:bCs/>
              </w:rPr>
            </w:pPr>
          </w:p>
        </w:tc>
      </w:tr>
      <w:tr w:rsidR="00717AA9" w:rsidRPr="00717AA9" w14:paraId="73273D39" w14:textId="77777777" w:rsidTr="005838C4">
        <w:tc>
          <w:tcPr>
            <w:tcW w:w="9628" w:type="dxa"/>
          </w:tcPr>
          <w:p w14:paraId="25E17FB8" w14:textId="77777777" w:rsidR="005838C4" w:rsidRPr="00717AA9" w:rsidRDefault="003F2899" w:rsidP="005838C4">
            <w:pPr>
              <w:pStyle w:val="Standard"/>
              <w:rPr>
                <w:b/>
                <w:bCs/>
              </w:rPr>
            </w:pPr>
            <w:bookmarkStart w:id="0" w:name="_Hlk176177510"/>
            <w:r w:rsidRPr="00717AA9">
              <w:rPr>
                <w:b/>
                <w:bCs/>
              </w:rPr>
              <w:t>9</w:t>
            </w:r>
            <w:r w:rsidR="005838C4" w:rsidRPr="00717AA9">
              <w:rPr>
                <w:b/>
                <w:bCs/>
              </w:rPr>
              <w:t xml:space="preserve">.1. </w:t>
            </w:r>
            <w:r w:rsidR="008161F0" w:rsidRPr="00717AA9">
              <w:rPr>
                <w:b/>
                <w:bCs/>
              </w:rPr>
              <w:t>Tooge välja p</w:t>
            </w:r>
            <w:r w:rsidR="00E20D1D" w:rsidRPr="00717AA9">
              <w:rPr>
                <w:b/>
                <w:bCs/>
              </w:rPr>
              <w:t>eriood, mille kohta isikuandmete päring tehakse</w:t>
            </w:r>
            <w:r w:rsidR="00767986" w:rsidRPr="00717AA9">
              <w:rPr>
                <w:b/>
                <w:bCs/>
              </w:rPr>
              <w:t>.</w:t>
            </w:r>
          </w:p>
          <w:bookmarkEnd w:id="0"/>
          <w:p w14:paraId="56ED8DE2" w14:textId="77777777" w:rsidR="005838C4" w:rsidRPr="00717AA9" w:rsidRDefault="005838C4" w:rsidP="00E20D1D">
            <w:pPr>
              <w:pStyle w:val="Standard"/>
              <w:rPr>
                <w:b/>
                <w:bCs/>
              </w:rPr>
            </w:pPr>
          </w:p>
          <w:p w14:paraId="72690159" w14:textId="77777777" w:rsidR="008161F0" w:rsidRDefault="00FD09BA" w:rsidP="00E20D1D">
            <w:pPr>
              <w:pStyle w:val="Standard"/>
              <w:rPr>
                <w:bCs/>
              </w:rPr>
            </w:pPr>
            <w:r w:rsidRPr="00717AA9">
              <w:rPr>
                <w:bCs/>
              </w:rPr>
              <w:t xml:space="preserve">Andmepäring tehakse </w:t>
            </w:r>
            <w:r w:rsidR="00FE2D3F" w:rsidRPr="00717AA9">
              <w:rPr>
                <w:bCs/>
              </w:rPr>
              <w:t xml:space="preserve">päringuhetkel </w:t>
            </w:r>
            <w:r w:rsidRPr="00717AA9">
              <w:rPr>
                <w:bCs/>
              </w:rPr>
              <w:t xml:space="preserve">maksimaalselt </w:t>
            </w:r>
            <w:r w:rsidR="00FE2D3F" w:rsidRPr="00717AA9">
              <w:rPr>
                <w:bCs/>
              </w:rPr>
              <w:t xml:space="preserve">eelneva 20 aasta </w:t>
            </w:r>
            <w:r w:rsidRPr="00717AA9">
              <w:rPr>
                <w:bCs/>
              </w:rPr>
              <w:t>kohta</w:t>
            </w:r>
            <w:r w:rsidR="00A177B7" w:rsidRPr="00717AA9">
              <w:rPr>
                <w:bCs/>
              </w:rPr>
              <w:t xml:space="preserve"> (juhul kui registris on olemas andmed nii pika perioodi kohta)</w:t>
            </w:r>
            <w:r w:rsidR="00712A87">
              <w:rPr>
                <w:bCs/>
              </w:rPr>
              <w:t xml:space="preserve">, </w:t>
            </w:r>
            <w:r w:rsidR="00365EDB">
              <w:rPr>
                <w:bCs/>
              </w:rPr>
              <w:t>ehk näiteks 2005-2024</w:t>
            </w:r>
            <w:r w:rsidR="00FE2D3F" w:rsidRPr="00717AA9">
              <w:rPr>
                <w:bCs/>
              </w:rPr>
              <w:t>.</w:t>
            </w:r>
          </w:p>
          <w:p w14:paraId="4165A2E7" w14:textId="77777777" w:rsidR="008E68FE" w:rsidRPr="00717AA9" w:rsidRDefault="008E68FE" w:rsidP="00E20D1D">
            <w:pPr>
              <w:pStyle w:val="Standard"/>
              <w:rPr>
                <w:bCs/>
              </w:rPr>
            </w:pPr>
          </w:p>
        </w:tc>
      </w:tr>
      <w:tr w:rsidR="00717AA9" w:rsidRPr="00717AA9" w14:paraId="333F239A" w14:textId="77777777" w:rsidTr="005838C4">
        <w:tc>
          <w:tcPr>
            <w:tcW w:w="9628" w:type="dxa"/>
          </w:tcPr>
          <w:p w14:paraId="4364B495" w14:textId="77777777" w:rsidR="005838C4" w:rsidRPr="00717AA9" w:rsidRDefault="003F2899">
            <w:pPr>
              <w:pStyle w:val="Standard"/>
              <w:rPr>
                <w:b/>
                <w:bCs/>
              </w:rPr>
            </w:pPr>
            <w:r w:rsidRPr="00717AA9">
              <w:rPr>
                <w:b/>
                <w:bCs/>
              </w:rPr>
              <w:t>9</w:t>
            </w:r>
            <w:r w:rsidR="005838C4" w:rsidRPr="00717AA9">
              <w:rPr>
                <w:b/>
                <w:bCs/>
              </w:rPr>
              <w:t xml:space="preserve">.2. </w:t>
            </w:r>
            <w:r w:rsidR="00614698" w:rsidRPr="00717AA9">
              <w:rPr>
                <w:b/>
                <w:bCs/>
              </w:rPr>
              <w:t>Loetlege t</w:t>
            </w:r>
            <w:r w:rsidR="00E20D1D" w:rsidRPr="00717AA9">
              <w:rPr>
                <w:b/>
                <w:bCs/>
              </w:rPr>
              <w:t>öödeldavate isikuandmete kooseis</w:t>
            </w:r>
            <w:r w:rsidR="00767986" w:rsidRPr="00717AA9">
              <w:rPr>
                <w:b/>
                <w:bCs/>
              </w:rPr>
              <w:t>.</w:t>
            </w:r>
          </w:p>
          <w:p w14:paraId="0970A228" w14:textId="77777777" w:rsidR="00E20D1D" w:rsidRPr="00717AA9" w:rsidRDefault="008161F0" w:rsidP="00B4159C">
            <w:pPr>
              <w:pStyle w:val="TableContents"/>
              <w:jc w:val="both"/>
              <w:rPr>
                <w:i/>
                <w:iCs/>
                <w:sz w:val="18"/>
                <w:szCs w:val="18"/>
              </w:rPr>
            </w:pPr>
            <w:r w:rsidRPr="00717AA9">
              <w:rPr>
                <w:i/>
                <w:iCs/>
                <w:sz w:val="18"/>
                <w:szCs w:val="18"/>
              </w:rPr>
              <w:t>Tuua detailselt välja, milliseid</w:t>
            </w:r>
            <w:r w:rsidR="00E20D1D" w:rsidRPr="00717AA9">
              <w:rPr>
                <w:i/>
                <w:iCs/>
                <w:sz w:val="18"/>
                <w:szCs w:val="18"/>
              </w:rPr>
              <w:t xml:space="preserve"> isikuandmeid töödeldakse (nt ees-</w:t>
            </w:r>
            <w:r w:rsidR="00767986" w:rsidRPr="00717AA9">
              <w:rPr>
                <w:i/>
                <w:iCs/>
                <w:sz w:val="18"/>
                <w:szCs w:val="18"/>
              </w:rPr>
              <w:t xml:space="preserve"> </w:t>
            </w:r>
            <w:r w:rsidR="00E20D1D" w:rsidRPr="00717AA9">
              <w:rPr>
                <w:i/>
                <w:iCs/>
                <w:sz w:val="18"/>
                <w:szCs w:val="18"/>
              </w:rPr>
              <w:t>ja perenimi</w:t>
            </w:r>
            <w:r w:rsidRPr="00717AA9">
              <w:rPr>
                <w:i/>
                <w:iCs/>
                <w:sz w:val="18"/>
                <w:szCs w:val="18"/>
              </w:rPr>
              <w:t>, isikukood, e-posti aadress</w:t>
            </w:r>
            <w:r w:rsidR="00E20D1D" w:rsidRPr="00717AA9">
              <w:rPr>
                <w:i/>
                <w:iCs/>
                <w:sz w:val="18"/>
                <w:szCs w:val="18"/>
              </w:rPr>
              <w:t xml:space="preserve"> jne)</w:t>
            </w:r>
            <w:r w:rsidR="00614698" w:rsidRPr="00717AA9">
              <w:rPr>
                <w:i/>
                <w:iCs/>
                <w:sz w:val="18"/>
                <w:szCs w:val="18"/>
              </w:rPr>
              <w:t xml:space="preserve"> ning</w:t>
            </w:r>
            <w:r w:rsidR="00B4159C" w:rsidRPr="00717AA9">
              <w:rPr>
                <w:i/>
                <w:iCs/>
                <w:sz w:val="18"/>
                <w:szCs w:val="18"/>
              </w:rPr>
              <w:t xml:space="preserve"> </w:t>
            </w:r>
            <w:r w:rsidR="00614698" w:rsidRPr="00717AA9">
              <w:rPr>
                <w:i/>
                <w:iCs/>
                <w:sz w:val="18"/>
                <w:szCs w:val="18"/>
              </w:rPr>
              <w:t>p</w:t>
            </w:r>
            <w:r w:rsidR="00B4159C" w:rsidRPr="00717AA9">
              <w:rPr>
                <w:i/>
                <w:iCs/>
                <w:sz w:val="18"/>
                <w:szCs w:val="18"/>
              </w:rPr>
              <w:t xml:space="preserve">õhjendus, </w:t>
            </w:r>
            <w:r w:rsidR="00E20D1D" w:rsidRPr="00717AA9">
              <w:rPr>
                <w:i/>
                <w:iCs/>
                <w:sz w:val="18"/>
                <w:szCs w:val="18"/>
              </w:rPr>
              <w:t>miks just neid andmeid on uuringu eesmärgi täitmiseks vaja. Vajadusel esitada taotluse lisana (nt tabelina).</w:t>
            </w:r>
          </w:p>
          <w:p w14:paraId="41098CD5" w14:textId="77777777" w:rsidR="00B4159C" w:rsidRPr="00717AA9" w:rsidRDefault="00B4159C" w:rsidP="00B4159C">
            <w:pPr>
              <w:pStyle w:val="TableContents"/>
              <w:jc w:val="both"/>
              <w:rPr>
                <w:i/>
                <w:iCs/>
                <w:sz w:val="18"/>
                <w:szCs w:val="18"/>
              </w:rPr>
            </w:pPr>
          </w:p>
          <w:tbl>
            <w:tblPr>
              <w:tblStyle w:val="TableGrid"/>
              <w:tblW w:w="0" w:type="auto"/>
              <w:tblLook w:val="04A0" w:firstRow="1" w:lastRow="0" w:firstColumn="1" w:lastColumn="0" w:noHBand="0" w:noVBand="1"/>
            </w:tblPr>
            <w:tblGrid>
              <w:gridCol w:w="2016"/>
              <w:gridCol w:w="4385"/>
              <w:gridCol w:w="3001"/>
            </w:tblGrid>
            <w:tr w:rsidR="00717AA9" w:rsidRPr="00717AA9" w14:paraId="0A9DAB65" w14:textId="77777777" w:rsidTr="00FD09BA">
              <w:tc>
                <w:tcPr>
                  <w:tcW w:w="2016" w:type="dxa"/>
                </w:tcPr>
                <w:p w14:paraId="266C98FA" w14:textId="77777777" w:rsidR="00A34C7E" w:rsidRPr="00717AA9" w:rsidRDefault="00A34C7E" w:rsidP="00A34C7E">
                  <w:pPr>
                    <w:pStyle w:val="TableContents"/>
                    <w:jc w:val="both"/>
                    <w:rPr>
                      <w:b/>
                      <w:i/>
                      <w:iCs/>
                      <w:sz w:val="18"/>
                      <w:szCs w:val="18"/>
                    </w:rPr>
                  </w:pPr>
                  <w:r w:rsidRPr="00717AA9">
                    <w:rPr>
                      <w:b/>
                    </w:rPr>
                    <w:t>Register</w:t>
                  </w:r>
                </w:p>
              </w:tc>
              <w:tc>
                <w:tcPr>
                  <w:tcW w:w="4385" w:type="dxa"/>
                </w:tcPr>
                <w:p w14:paraId="2F35813E" w14:textId="77777777" w:rsidR="00A34C7E" w:rsidRPr="00717AA9" w:rsidRDefault="00A34C7E" w:rsidP="00A34C7E">
                  <w:pPr>
                    <w:pStyle w:val="TableContents"/>
                    <w:jc w:val="both"/>
                    <w:rPr>
                      <w:b/>
                      <w:i/>
                      <w:iCs/>
                      <w:sz w:val="18"/>
                      <w:szCs w:val="18"/>
                    </w:rPr>
                  </w:pPr>
                  <w:r w:rsidRPr="00717AA9">
                    <w:rPr>
                      <w:b/>
                    </w:rPr>
                    <w:t>Andmekoosseis</w:t>
                  </w:r>
                </w:p>
              </w:tc>
              <w:tc>
                <w:tcPr>
                  <w:tcW w:w="3001" w:type="dxa"/>
                </w:tcPr>
                <w:p w14:paraId="32ABF9DF" w14:textId="77777777" w:rsidR="00A34C7E" w:rsidRPr="00717AA9" w:rsidRDefault="00A34C7E" w:rsidP="00A34C7E">
                  <w:pPr>
                    <w:pStyle w:val="TableContents"/>
                    <w:jc w:val="both"/>
                    <w:rPr>
                      <w:i/>
                      <w:iCs/>
                      <w:sz w:val="18"/>
                      <w:szCs w:val="18"/>
                    </w:rPr>
                  </w:pPr>
                </w:p>
              </w:tc>
            </w:tr>
            <w:tr w:rsidR="00717AA9" w:rsidRPr="00717AA9" w14:paraId="59DD6175" w14:textId="77777777" w:rsidTr="00FD09BA">
              <w:tc>
                <w:tcPr>
                  <w:tcW w:w="2016" w:type="dxa"/>
                </w:tcPr>
                <w:p w14:paraId="5DC4EAD3" w14:textId="77777777" w:rsidR="00A34C7E" w:rsidRPr="00717AA9" w:rsidRDefault="00A34C7E" w:rsidP="00A34C7E">
                  <w:pPr>
                    <w:pStyle w:val="TableContents"/>
                    <w:jc w:val="both"/>
                    <w:rPr>
                      <w:i/>
                      <w:iCs/>
                      <w:sz w:val="18"/>
                      <w:szCs w:val="18"/>
                    </w:rPr>
                  </w:pPr>
                  <w:r w:rsidRPr="00717AA9">
                    <w:rPr>
                      <w:szCs w:val="23"/>
                    </w:rPr>
                    <w:lastRenderedPageBreak/>
                    <w:t>Tervisekassa raviarvete ja retseptide andmebaas</w:t>
                  </w:r>
                </w:p>
              </w:tc>
              <w:tc>
                <w:tcPr>
                  <w:tcW w:w="4385" w:type="dxa"/>
                </w:tcPr>
                <w:p w14:paraId="66719623" w14:textId="77777777" w:rsidR="00A34C7E" w:rsidRPr="00717AA9" w:rsidRDefault="00A34C7E" w:rsidP="00A34C7E">
                  <w:pPr>
                    <w:pStyle w:val="TableContents"/>
                    <w:jc w:val="both"/>
                    <w:rPr>
                      <w:i/>
                      <w:iCs/>
                      <w:sz w:val="18"/>
                      <w:szCs w:val="18"/>
                    </w:rPr>
                  </w:pPr>
                  <w:r w:rsidRPr="00717AA9">
                    <w:t>Kõikide raviarvete avamise ja lõpetamise kuupäevad, rav</w:t>
                  </w:r>
                  <w:r w:rsidR="009C1AF6">
                    <w:t xml:space="preserve">i </w:t>
                  </w:r>
                  <w:r w:rsidRPr="00717AA9">
                    <w:t>tüüp, raviarvete</w:t>
                  </w:r>
                  <w:r w:rsidR="00CF4304">
                    <w:t>l kajastuvad</w:t>
                  </w:r>
                  <w:r w:rsidRPr="00717AA9">
                    <w:t xml:space="preserve"> diagnoosid (põhidiagnoosid ja kaasuvad diagnoosid). Retseptiravimite osas retsepti väljakirjutamise kuupäev ja retseptile märgitud diagnoos koos RHK koodidega</w:t>
                  </w:r>
                </w:p>
              </w:tc>
              <w:tc>
                <w:tcPr>
                  <w:tcW w:w="3001" w:type="dxa"/>
                </w:tcPr>
                <w:p w14:paraId="2E99B5BA" w14:textId="77777777" w:rsidR="00A34C7E" w:rsidRPr="00717AA9" w:rsidRDefault="00A34C7E" w:rsidP="00A34C7E">
                  <w:pPr>
                    <w:pStyle w:val="TableContents"/>
                    <w:jc w:val="both"/>
                    <w:rPr>
                      <w:iCs/>
                      <w:sz w:val="18"/>
                      <w:szCs w:val="18"/>
                    </w:rPr>
                  </w:pPr>
                  <w:r w:rsidRPr="00717AA9">
                    <w:rPr>
                      <w:iCs/>
                      <w:szCs w:val="18"/>
                    </w:rPr>
                    <w:t xml:space="preserve">Antud andmete põhjal seostatakse uuritavate haigestumust nende kokkupuutega </w:t>
                  </w:r>
                  <w:r w:rsidR="00365EDB">
                    <w:rPr>
                      <w:iCs/>
                      <w:szCs w:val="18"/>
                    </w:rPr>
                    <w:t>õhusaaste</w:t>
                  </w:r>
                  <w:r w:rsidRPr="00717AA9">
                    <w:rPr>
                      <w:iCs/>
                      <w:szCs w:val="18"/>
                    </w:rPr>
                    <w:t>ga.</w:t>
                  </w:r>
                </w:p>
              </w:tc>
            </w:tr>
            <w:tr w:rsidR="00717AA9" w:rsidRPr="00717AA9" w14:paraId="54CD578B" w14:textId="77777777" w:rsidTr="00FD09BA">
              <w:tc>
                <w:tcPr>
                  <w:tcW w:w="2016" w:type="dxa"/>
                  <w:tcBorders>
                    <w:top w:val="single" w:sz="4" w:space="0" w:color="auto"/>
                    <w:left w:val="nil"/>
                    <w:bottom w:val="nil"/>
                    <w:right w:val="nil"/>
                  </w:tcBorders>
                  <w:shd w:val="clear" w:color="auto" w:fill="auto"/>
                </w:tcPr>
                <w:p w14:paraId="1CF0AAE2" w14:textId="77777777" w:rsidR="00FD09BA" w:rsidRPr="00717AA9" w:rsidRDefault="00FD09BA" w:rsidP="00B4159C">
                  <w:pPr>
                    <w:pStyle w:val="TableContents"/>
                    <w:jc w:val="both"/>
                    <w:rPr>
                      <w:i/>
                      <w:iCs/>
                      <w:sz w:val="18"/>
                      <w:szCs w:val="18"/>
                    </w:rPr>
                  </w:pPr>
                </w:p>
              </w:tc>
              <w:tc>
                <w:tcPr>
                  <w:tcW w:w="4385" w:type="dxa"/>
                  <w:tcBorders>
                    <w:top w:val="single" w:sz="4" w:space="0" w:color="auto"/>
                    <w:left w:val="nil"/>
                    <w:bottom w:val="nil"/>
                    <w:right w:val="nil"/>
                  </w:tcBorders>
                  <w:shd w:val="clear" w:color="auto" w:fill="auto"/>
                </w:tcPr>
                <w:p w14:paraId="57D870B9" w14:textId="77777777" w:rsidR="00FD09BA" w:rsidRPr="00717AA9" w:rsidRDefault="00FD09BA" w:rsidP="00B4159C">
                  <w:pPr>
                    <w:pStyle w:val="TableContents"/>
                    <w:jc w:val="both"/>
                    <w:rPr>
                      <w:i/>
                      <w:iCs/>
                      <w:sz w:val="18"/>
                      <w:szCs w:val="18"/>
                    </w:rPr>
                  </w:pPr>
                </w:p>
              </w:tc>
              <w:tc>
                <w:tcPr>
                  <w:tcW w:w="3001" w:type="dxa"/>
                  <w:tcBorders>
                    <w:top w:val="single" w:sz="4" w:space="0" w:color="auto"/>
                    <w:left w:val="nil"/>
                    <w:bottom w:val="nil"/>
                    <w:right w:val="nil"/>
                  </w:tcBorders>
                  <w:shd w:val="clear" w:color="auto" w:fill="auto"/>
                </w:tcPr>
                <w:p w14:paraId="25695422" w14:textId="77777777" w:rsidR="00FD09BA" w:rsidRPr="00717AA9" w:rsidRDefault="00FD09BA" w:rsidP="00B4159C">
                  <w:pPr>
                    <w:pStyle w:val="TableContents"/>
                    <w:jc w:val="both"/>
                    <w:rPr>
                      <w:i/>
                      <w:iCs/>
                      <w:sz w:val="18"/>
                      <w:szCs w:val="18"/>
                    </w:rPr>
                  </w:pPr>
                </w:p>
              </w:tc>
            </w:tr>
            <w:tr w:rsidR="00717AA9" w:rsidRPr="00717AA9" w14:paraId="66476DC8" w14:textId="77777777" w:rsidTr="00FD09BA">
              <w:tc>
                <w:tcPr>
                  <w:tcW w:w="2016" w:type="dxa"/>
                  <w:tcBorders>
                    <w:top w:val="nil"/>
                    <w:left w:val="nil"/>
                    <w:bottom w:val="nil"/>
                    <w:right w:val="nil"/>
                  </w:tcBorders>
                </w:tcPr>
                <w:p w14:paraId="64A45C5D" w14:textId="77777777" w:rsidR="00FD09BA" w:rsidRPr="00717AA9" w:rsidRDefault="00FD09BA" w:rsidP="00B4159C">
                  <w:pPr>
                    <w:pStyle w:val="TableContents"/>
                    <w:jc w:val="both"/>
                    <w:rPr>
                      <w:i/>
                      <w:iCs/>
                      <w:sz w:val="18"/>
                      <w:szCs w:val="18"/>
                    </w:rPr>
                  </w:pPr>
                </w:p>
              </w:tc>
              <w:tc>
                <w:tcPr>
                  <w:tcW w:w="4385" w:type="dxa"/>
                  <w:tcBorders>
                    <w:top w:val="nil"/>
                    <w:left w:val="nil"/>
                    <w:bottom w:val="nil"/>
                    <w:right w:val="nil"/>
                  </w:tcBorders>
                </w:tcPr>
                <w:p w14:paraId="10785912" w14:textId="77777777" w:rsidR="00FD09BA" w:rsidRPr="00717AA9" w:rsidRDefault="00FD09BA" w:rsidP="00B4159C">
                  <w:pPr>
                    <w:pStyle w:val="TableContents"/>
                    <w:jc w:val="both"/>
                    <w:rPr>
                      <w:i/>
                      <w:iCs/>
                      <w:sz w:val="18"/>
                      <w:szCs w:val="18"/>
                    </w:rPr>
                  </w:pPr>
                </w:p>
              </w:tc>
              <w:tc>
                <w:tcPr>
                  <w:tcW w:w="3001" w:type="dxa"/>
                  <w:tcBorders>
                    <w:top w:val="nil"/>
                    <w:left w:val="nil"/>
                    <w:bottom w:val="nil"/>
                    <w:right w:val="nil"/>
                  </w:tcBorders>
                </w:tcPr>
                <w:p w14:paraId="73FDAF9F" w14:textId="77777777" w:rsidR="00FD09BA" w:rsidRPr="00717AA9" w:rsidRDefault="00FD09BA" w:rsidP="00B4159C">
                  <w:pPr>
                    <w:pStyle w:val="TableContents"/>
                    <w:jc w:val="both"/>
                    <w:rPr>
                      <w:i/>
                      <w:iCs/>
                      <w:sz w:val="18"/>
                      <w:szCs w:val="18"/>
                    </w:rPr>
                  </w:pPr>
                </w:p>
              </w:tc>
            </w:tr>
          </w:tbl>
          <w:p w14:paraId="5D4B77C8" w14:textId="77777777" w:rsidR="005838C4" w:rsidRPr="00717AA9" w:rsidRDefault="005838C4">
            <w:pPr>
              <w:pStyle w:val="Standard"/>
              <w:rPr>
                <w:b/>
                <w:bCs/>
              </w:rPr>
            </w:pPr>
          </w:p>
        </w:tc>
      </w:tr>
      <w:tr w:rsidR="00717AA9" w:rsidRPr="00717AA9" w14:paraId="73DCB6F4" w14:textId="77777777" w:rsidTr="005838C4">
        <w:tc>
          <w:tcPr>
            <w:tcW w:w="9628" w:type="dxa"/>
          </w:tcPr>
          <w:p w14:paraId="18458CA9" w14:textId="77777777" w:rsidR="00E20D1D" w:rsidRPr="00717AA9" w:rsidRDefault="003F2899" w:rsidP="00E20D1D">
            <w:pPr>
              <w:pStyle w:val="Standard"/>
              <w:rPr>
                <w:i/>
                <w:iCs/>
                <w:sz w:val="18"/>
                <w:szCs w:val="18"/>
              </w:rPr>
            </w:pPr>
            <w:r w:rsidRPr="00717AA9">
              <w:rPr>
                <w:b/>
                <w:bCs/>
              </w:rPr>
              <w:lastRenderedPageBreak/>
              <w:t>9</w:t>
            </w:r>
            <w:r w:rsidR="005838C4" w:rsidRPr="00717AA9">
              <w:rPr>
                <w:b/>
                <w:bCs/>
              </w:rPr>
              <w:t xml:space="preserve">.3. </w:t>
            </w:r>
            <w:r w:rsidR="00614698" w:rsidRPr="00717AA9">
              <w:rPr>
                <w:b/>
                <w:bCs/>
              </w:rPr>
              <w:t>Loetlege i</w:t>
            </w:r>
            <w:r w:rsidR="00E20D1D" w:rsidRPr="00717AA9">
              <w:rPr>
                <w:b/>
                <w:bCs/>
              </w:rPr>
              <w:t>sikuandmete allikad</w:t>
            </w:r>
            <w:r w:rsidR="00767986" w:rsidRPr="00717AA9">
              <w:rPr>
                <w:b/>
                <w:bCs/>
              </w:rPr>
              <w:t>.</w:t>
            </w:r>
          </w:p>
          <w:p w14:paraId="3F31EE56" w14:textId="77777777" w:rsidR="00E20D1D" w:rsidRDefault="00E20D1D" w:rsidP="00E20D1D">
            <w:pPr>
              <w:pStyle w:val="Standard"/>
              <w:rPr>
                <w:i/>
                <w:iCs/>
                <w:sz w:val="18"/>
                <w:szCs w:val="18"/>
              </w:rPr>
            </w:pPr>
            <w:r w:rsidRPr="00717AA9">
              <w:rPr>
                <w:i/>
                <w:iCs/>
                <w:sz w:val="18"/>
                <w:szCs w:val="18"/>
              </w:rPr>
              <w:t xml:space="preserve">Nimetage konkreetsed isikuandmete allikad (nt registrid, küsitluslehed jne), kust isikuandmeid saadakse. </w:t>
            </w:r>
          </w:p>
          <w:p w14:paraId="799122E5" w14:textId="77777777" w:rsidR="000640FD" w:rsidRPr="00717AA9" w:rsidRDefault="000640FD" w:rsidP="00E20D1D">
            <w:pPr>
              <w:pStyle w:val="Standard"/>
              <w:rPr>
                <w:i/>
                <w:iCs/>
                <w:sz w:val="18"/>
                <w:szCs w:val="18"/>
              </w:rPr>
            </w:pPr>
          </w:p>
          <w:p w14:paraId="4FF49A3C" w14:textId="77777777" w:rsidR="00CB4E7B" w:rsidRPr="00717AA9" w:rsidRDefault="00CB4E7B" w:rsidP="005838C4">
            <w:pPr>
              <w:pStyle w:val="Standard"/>
            </w:pPr>
            <w:r w:rsidRPr="00717AA9">
              <w:t xml:space="preserve">Päringud terviseandmete kohta tehakse Tervisekassa raviarvete ja retseptide andmebaasi. </w:t>
            </w:r>
          </w:p>
          <w:p w14:paraId="75CDD120" w14:textId="77777777" w:rsidR="008161F0" w:rsidRPr="00717AA9" w:rsidRDefault="008161F0" w:rsidP="005838C4">
            <w:pPr>
              <w:pStyle w:val="Standard"/>
              <w:rPr>
                <w:b/>
                <w:bCs/>
              </w:rPr>
            </w:pPr>
          </w:p>
        </w:tc>
      </w:tr>
      <w:tr w:rsidR="00D26E3F" w:rsidRPr="00717AA9" w14:paraId="399161B8" w14:textId="77777777" w:rsidTr="00723D5C">
        <w:trPr>
          <w:trHeight w:val="1583"/>
        </w:trPr>
        <w:tc>
          <w:tcPr>
            <w:tcW w:w="9628" w:type="dxa"/>
          </w:tcPr>
          <w:p w14:paraId="75639211" w14:textId="77777777" w:rsidR="00D26E3F" w:rsidRPr="00717AA9" w:rsidRDefault="003F2899" w:rsidP="00E20D1D">
            <w:pPr>
              <w:pStyle w:val="Standard"/>
              <w:rPr>
                <w:b/>
                <w:bCs/>
              </w:rPr>
            </w:pPr>
            <w:r w:rsidRPr="00717AA9">
              <w:rPr>
                <w:b/>
                <w:bCs/>
              </w:rPr>
              <w:t>9</w:t>
            </w:r>
            <w:r w:rsidR="00D26E3F" w:rsidRPr="00717AA9">
              <w:rPr>
                <w:b/>
                <w:bCs/>
              </w:rPr>
              <w:t>.4. Kas andmeandjatega (andmekogu vastutav</w:t>
            </w:r>
            <w:r w:rsidR="00D174C8" w:rsidRPr="00717AA9">
              <w:rPr>
                <w:b/>
                <w:bCs/>
              </w:rPr>
              <w:t>a</w:t>
            </w:r>
            <w:r w:rsidR="00D26E3F" w:rsidRPr="00717AA9">
              <w:rPr>
                <w:b/>
                <w:bCs/>
              </w:rPr>
              <w:t xml:space="preserve"> töötleja</w:t>
            </w:r>
            <w:r w:rsidR="00D174C8" w:rsidRPr="00717AA9">
              <w:rPr>
                <w:b/>
                <w:bCs/>
              </w:rPr>
              <w:t>ga</w:t>
            </w:r>
            <w:r w:rsidR="00D26E3F" w:rsidRPr="00717AA9">
              <w:rPr>
                <w:b/>
                <w:bCs/>
              </w:rPr>
              <w:t>) on konsulteeritud ning nad on valmis väljastama uuringu eesmärgi saavutamiseks vajalikud andmed?</w:t>
            </w:r>
          </w:p>
          <w:p w14:paraId="07E797E1" w14:textId="77777777" w:rsidR="003F2899" w:rsidRPr="00717AA9" w:rsidRDefault="003F2899" w:rsidP="00E20D1D">
            <w:pPr>
              <w:pStyle w:val="Standard"/>
              <w:rPr>
                <w:b/>
                <w:bCs/>
              </w:rPr>
            </w:pPr>
          </w:p>
          <w:p w14:paraId="5ABA5666" w14:textId="77777777" w:rsidR="003F2899" w:rsidRPr="00717AA9" w:rsidRDefault="00FD09BA" w:rsidP="00E20D1D">
            <w:pPr>
              <w:pStyle w:val="Standard"/>
              <w:rPr>
                <w:bCs/>
              </w:rPr>
            </w:pPr>
            <w:r w:rsidRPr="00717AA9">
              <w:rPr>
                <w:bCs/>
              </w:rPr>
              <w:t>Uuringumeeskond on</w:t>
            </w:r>
            <w:r w:rsidR="00723D5C" w:rsidRPr="00717AA9">
              <w:rPr>
                <w:bCs/>
              </w:rPr>
              <w:t xml:space="preserve"> registripidajatega konsulteerinud ning</w:t>
            </w:r>
            <w:r w:rsidRPr="00717AA9">
              <w:rPr>
                <w:bCs/>
              </w:rPr>
              <w:t xml:space="preserve"> eelnevalt korduvalt </w:t>
            </w:r>
            <w:r w:rsidR="00723D5C" w:rsidRPr="00717AA9">
              <w:rPr>
                <w:bCs/>
              </w:rPr>
              <w:t xml:space="preserve">teinud </w:t>
            </w:r>
            <w:r w:rsidRPr="00717AA9">
              <w:rPr>
                <w:bCs/>
              </w:rPr>
              <w:t xml:space="preserve">päringuid </w:t>
            </w:r>
            <w:r w:rsidR="00365EDB">
              <w:rPr>
                <w:bCs/>
              </w:rPr>
              <w:t>Tervisekassa andmebaasi</w:t>
            </w:r>
            <w:r w:rsidR="00723D5C" w:rsidRPr="00717AA9">
              <w:rPr>
                <w:bCs/>
              </w:rPr>
              <w:t xml:space="preserve"> ning teinud teadusuuringuid sarnaste andmetega. </w:t>
            </w:r>
          </w:p>
        </w:tc>
      </w:tr>
    </w:tbl>
    <w:p w14:paraId="195EA171" w14:textId="77777777" w:rsidR="005838C4" w:rsidRPr="00717AA9" w:rsidRDefault="005838C4">
      <w:pPr>
        <w:pStyle w:val="Standard"/>
        <w:rPr>
          <w:b/>
          <w:bCs/>
        </w:rPr>
      </w:pPr>
    </w:p>
    <w:tbl>
      <w:tblPr>
        <w:tblStyle w:val="TableGrid"/>
        <w:tblW w:w="0" w:type="auto"/>
        <w:tblLook w:val="04A0" w:firstRow="1" w:lastRow="0" w:firstColumn="1" w:lastColumn="0" w:noHBand="0" w:noVBand="1"/>
      </w:tblPr>
      <w:tblGrid>
        <w:gridCol w:w="9628"/>
      </w:tblGrid>
      <w:tr w:rsidR="00717AA9" w:rsidRPr="00717AA9" w14:paraId="311B361D" w14:textId="77777777" w:rsidTr="005C36F0">
        <w:tc>
          <w:tcPr>
            <w:tcW w:w="9628" w:type="dxa"/>
          </w:tcPr>
          <w:p w14:paraId="5E643E78" w14:textId="77777777" w:rsidR="008161F0" w:rsidRPr="00717AA9" w:rsidRDefault="005C36F0" w:rsidP="0069169B">
            <w:pPr>
              <w:pStyle w:val="Standard"/>
              <w:jc w:val="both"/>
              <w:rPr>
                <w:b/>
                <w:bCs/>
              </w:rPr>
            </w:pPr>
            <w:r w:rsidRPr="00717AA9">
              <w:rPr>
                <w:b/>
                <w:bCs/>
              </w:rPr>
              <w:t>1</w:t>
            </w:r>
            <w:r w:rsidR="00614698" w:rsidRPr="00717AA9">
              <w:rPr>
                <w:b/>
                <w:bCs/>
              </w:rPr>
              <w:t>0</w:t>
            </w:r>
            <w:r w:rsidRPr="00717AA9">
              <w:rPr>
                <w:b/>
                <w:bCs/>
              </w:rPr>
              <w:t xml:space="preserve">. </w:t>
            </w:r>
            <w:r w:rsidR="00E20D1D" w:rsidRPr="00717AA9">
              <w:rPr>
                <w:b/>
                <w:bCs/>
              </w:rPr>
              <w:t>Kas kogutud andmed pseudonümiseeritakse või anonümisee</w:t>
            </w:r>
            <w:r w:rsidR="00D26E3F" w:rsidRPr="00717AA9">
              <w:rPr>
                <w:b/>
                <w:bCs/>
              </w:rPr>
              <w:t>ri</w:t>
            </w:r>
            <w:r w:rsidR="00E20D1D" w:rsidRPr="00717AA9">
              <w:rPr>
                <w:b/>
                <w:bCs/>
              </w:rPr>
              <w:t xml:space="preserve">takse? Mis etapis seda tehakse? </w:t>
            </w:r>
            <w:r w:rsidR="000C3BFC" w:rsidRPr="00717AA9">
              <w:rPr>
                <w:b/>
                <w:bCs/>
              </w:rPr>
              <w:t>Kes viib läbi pseudonümiseerimise või anonümiseerimise</w:t>
            </w:r>
            <w:r w:rsidR="0069169B" w:rsidRPr="00717AA9">
              <w:rPr>
                <w:b/>
                <w:bCs/>
              </w:rPr>
              <w:t xml:space="preserve"> </w:t>
            </w:r>
            <w:r w:rsidR="0069169B" w:rsidRPr="00717AA9">
              <w:t>(vastutav töötleja, volitatud töötleja, andmeandja vms)</w:t>
            </w:r>
            <w:r w:rsidR="000C3BFC" w:rsidRPr="00717AA9">
              <w:rPr>
                <w:b/>
                <w:bCs/>
              </w:rPr>
              <w:t xml:space="preserve">? </w:t>
            </w:r>
          </w:p>
          <w:p w14:paraId="46BD7A4E" w14:textId="77777777" w:rsidR="000640FD" w:rsidRDefault="000640FD" w:rsidP="0069169B">
            <w:pPr>
              <w:pStyle w:val="Standard"/>
              <w:jc w:val="both"/>
              <w:rPr>
                <w:b/>
                <w:bCs/>
              </w:rPr>
            </w:pPr>
          </w:p>
          <w:p w14:paraId="6E09CDB6" w14:textId="77777777" w:rsidR="00E20D1D" w:rsidRPr="00717AA9" w:rsidRDefault="00806415" w:rsidP="0069169B">
            <w:pPr>
              <w:pStyle w:val="Standard"/>
              <w:jc w:val="both"/>
              <w:rPr>
                <w:b/>
                <w:bCs/>
              </w:rPr>
            </w:pPr>
            <w:r w:rsidRPr="00717AA9">
              <w:rPr>
                <w:b/>
                <w:bCs/>
              </w:rPr>
              <w:t>Kui andmeid ei pseudonümi</w:t>
            </w:r>
            <w:r w:rsidR="00D174C8" w:rsidRPr="00717AA9">
              <w:rPr>
                <w:b/>
                <w:bCs/>
              </w:rPr>
              <w:t>seerita</w:t>
            </w:r>
            <w:r w:rsidRPr="00717AA9">
              <w:rPr>
                <w:b/>
                <w:bCs/>
              </w:rPr>
              <w:t xml:space="preserve">, siis selgitada, miks seda ei tehta. </w:t>
            </w:r>
          </w:p>
          <w:p w14:paraId="0925B4FC" w14:textId="77777777" w:rsidR="00E20D1D" w:rsidRPr="00717AA9" w:rsidRDefault="00E20D1D">
            <w:pPr>
              <w:pStyle w:val="Standard"/>
              <w:rPr>
                <w:b/>
                <w:bCs/>
              </w:rPr>
            </w:pPr>
          </w:p>
          <w:p w14:paraId="069CD063" w14:textId="77777777" w:rsidR="000640FD" w:rsidRDefault="000640FD" w:rsidP="00B34316">
            <w:pPr>
              <w:pStyle w:val="Standard"/>
            </w:pPr>
            <w:r>
              <w:t xml:space="preserve">Enne andmete edastamist volitatud töötlejale </w:t>
            </w:r>
            <w:r w:rsidRPr="000640FD">
              <w:t>anonümiseeri</w:t>
            </w:r>
            <w:r>
              <w:t>takse kogutud andmed andmeandja poolt.</w:t>
            </w:r>
          </w:p>
          <w:p w14:paraId="48F31937" w14:textId="77777777" w:rsidR="00FB7E97" w:rsidRPr="00717AA9" w:rsidRDefault="00FB7E97" w:rsidP="00FB7E97">
            <w:pPr>
              <w:pStyle w:val="Standard"/>
            </w:pPr>
          </w:p>
        </w:tc>
      </w:tr>
      <w:tr w:rsidR="00717AA9" w:rsidRPr="00717AA9" w14:paraId="10F97DB6" w14:textId="77777777" w:rsidTr="005C36F0">
        <w:tc>
          <w:tcPr>
            <w:tcW w:w="9628" w:type="dxa"/>
          </w:tcPr>
          <w:p w14:paraId="7BF7B5EC" w14:textId="77777777" w:rsidR="005C36F0" w:rsidRPr="00717AA9" w:rsidRDefault="005C36F0" w:rsidP="00E20D1D">
            <w:pPr>
              <w:pStyle w:val="Standard"/>
              <w:rPr>
                <w:b/>
                <w:bCs/>
              </w:rPr>
            </w:pPr>
            <w:r w:rsidRPr="00717AA9">
              <w:rPr>
                <w:b/>
                <w:bCs/>
              </w:rPr>
              <w:t>1</w:t>
            </w:r>
            <w:r w:rsidR="00614698" w:rsidRPr="00717AA9">
              <w:rPr>
                <w:b/>
                <w:bCs/>
              </w:rPr>
              <w:t>0</w:t>
            </w:r>
            <w:r w:rsidRPr="00717AA9">
              <w:rPr>
                <w:b/>
                <w:bCs/>
              </w:rPr>
              <w:t xml:space="preserve">.1. </w:t>
            </w:r>
            <w:r w:rsidR="00614698" w:rsidRPr="00717AA9">
              <w:rPr>
                <w:b/>
                <w:bCs/>
              </w:rPr>
              <w:t>Loetlege p</w:t>
            </w:r>
            <w:r w:rsidR="00B34316" w:rsidRPr="00717AA9">
              <w:rPr>
                <w:b/>
                <w:bCs/>
              </w:rPr>
              <w:t>seudonümiseeritud andmete koosseis</w:t>
            </w:r>
            <w:r w:rsidR="00767986" w:rsidRPr="00717AA9">
              <w:rPr>
                <w:b/>
                <w:bCs/>
              </w:rPr>
              <w:t>.</w:t>
            </w:r>
          </w:p>
          <w:p w14:paraId="690B1232" w14:textId="77777777" w:rsidR="005C36F0" w:rsidRPr="00717AA9" w:rsidRDefault="005C36F0">
            <w:pPr>
              <w:pStyle w:val="Standard"/>
              <w:rPr>
                <w:b/>
                <w:bCs/>
              </w:rPr>
            </w:pPr>
          </w:p>
          <w:p w14:paraId="68C604EB" w14:textId="77777777" w:rsidR="005C36F0" w:rsidRPr="00717AA9" w:rsidRDefault="00F54BEE">
            <w:pPr>
              <w:pStyle w:val="Standard"/>
              <w:rPr>
                <w:bCs/>
              </w:rPr>
            </w:pPr>
            <w:r w:rsidRPr="00F54BEE">
              <w:rPr>
                <w:bCs/>
              </w:rPr>
              <w:t>Uuringus ei kasutata pseudonümiseeritud andmeid.</w:t>
            </w:r>
            <w:r w:rsidR="00BB490C" w:rsidRPr="00717AA9">
              <w:rPr>
                <w:bCs/>
              </w:rPr>
              <w:t xml:space="preserve"> </w:t>
            </w:r>
          </w:p>
          <w:p w14:paraId="0FB795C6" w14:textId="77777777" w:rsidR="000C3BFC" w:rsidRPr="00717AA9" w:rsidRDefault="000C3BFC">
            <w:pPr>
              <w:pStyle w:val="Standard"/>
              <w:rPr>
                <w:b/>
                <w:bCs/>
              </w:rPr>
            </w:pPr>
          </w:p>
        </w:tc>
      </w:tr>
      <w:tr w:rsidR="00717AA9" w:rsidRPr="00717AA9" w14:paraId="4EF2CCA7" w14:textId="77777777" w:rsidTr="005C36F0">
        <w:tc>
          <w:tcPr>
            <w:tcW w:w="9628" w:type="dxa"/>
          </w:tcPr>
          <w:p w14:paraId="4E586C1C" w14:textId="77777777" w:rsidR="008161F0" w:rsidRPr="00717AA9" w:rsidRDefault="00882FDB">
            <w:pPr>
              <w:pStyle w:val="Standard"/>
              <w:rPr>
                <w:b/>
                <w:bCs/>
              </w:rPr>
            </w:pPr>
            <w:r w:rsidRPr="00717AA9">
              <w:rPr>
                <w:b/>
                <w:bCs/>
              </w:rPr>
              <w:t>1</w:t>
            </w:r>
            <w:r w:rsidR="00614698" w:rsidRPr="00717AA9">
              <w:rPr>
                <w:b/>
                <w:bCs/>
              </w:rPr>
              <w:t>0</w:t>
            </w:r>
            <w:r w:rsidRPr="00717AA9">
              <w:rPr>
                <w:b/>
                <w:bCs/>
              </w:rPr>
              <w:t>.2. Kirjeldage pseudonümi</w:t>
            </w:r>
            <w:r w:rsidR="00806415" w:rsidRPr="00717AA9">
              <w:rPr>
                <w:b/>
                <w:bCs/>
              </w:rPr>
              <w:t>seerimise</w:t>
            </w:r>
            <w:r w:rsidRPr="00717AA9">
              <w:rPr>
                <w:b/>
                <w:bCs/>
              </w:rPr>
              <w:t xml:space="preserve"> protsessi ja vahendeid</w:t>
            </w:r>
            <w:r w:rsidR="00806415" w:rsidRPr="00717AA9">
              <w:rPr>
                <w:b/>
                <w:bCs/>
              </w:rPr>
              <w:t xml:space="preserve">. </w:t>
            </w:r>
          </w:p>
          <w:p w14:paraId="31384278" w14:textId="77777777" w:rsidR="00882FDB" w:rsidRPr="00717AA9" w:rsidRDefault="00806415">
            <w:pPr>
              <w:pStyle w:val="Standard"/>
              <w:rPr>
                <w:b/>
                <w:bCs/>
              </w:rPr>
            </w:pPr>
            <w:r w:rsidRPr="00717AA9">
              <w:rPr>
                <w:b/>
                <w:bCs/>
              </w:rPr>
              <w:t xml:space="preserve">Kui kasutatakse koodivõtit, siis tuua välja, kes koodivõtit säilitab ja kui kaua säilitab. </w:t>
            </w:r>
          </w:p>
          <w:p w14:paraId="565AB655" w14:textId="77777777" w:rsidR="00882FDB" w:rsidRPr="00717AA9" w:rsidRDefault="00882FDB">
            <w:pPr>
              <w:pStyle w:val="Standard"/>
              <w:rPr>
                <w:b/>
                <w:bCs/>
              </w:rPr>
            </w:pPr>
          </w:p>
          <w:p w14:paraId="7111B251" w14:textId="77777777" w:rsidR="000C3BFC" w:rsidRPr="00717AA9" w:rsidRDefault="00875224">
            <w:pPr>
              <w:pStyle w:val="Standard"/>
            </w:pPr>
            <w:r w:rsidRPr="00717AA9">
              <w:t>Uuringu</w:t>
            </w:r>
            <w:r w:rsidR="00F54BEE">
              <w:t xml:space="preserve">s ei kasutata </w:t>
            </w:r>
            <w:r w:rsidR="00F54BEE" w:rsidRPr="00F54BEE">
              <w:t>pseudonümiseeritud</w:t>
            </w:r>
            <w:r w:rsidR="00F54BEE">
              <w:t xml:space="preserve"> andmeid.</w:t>
            </w:r>
          </w:p>
        </w:tc>
      </w:tr>
      <w:tr w:rsidR="005C36F0" w:rsidRPr="00717AA9" w14:paraId="012D72ED" w14:textId="77777777" w:rsidTr="005C36F0">
        <w:tc>
          <w:tcPr>
            <w:tcW w:w="9628" w:type="dxa"/>
          </w:tcPr>
          <w:p w14:paraId="53A20CFE" w14:textId="77777777" w:rsidR="008161F0" w:rsidRPr="00717AA9" w:rsidRDefault="005C36F0" w:rsidP="00E20D1D">
            <w:pPr>
              <w:pStyle w:val="Standard"/>
              <w:rPr>
                <w:b/>
                <w:bCs/>
              </w:rPr>
            </w:pPr>
            <w:r w:rsidRPr="00717AA9">
              <w:rPr>
                <w:b/>
                <w:bCs/>
              </w:rPr>
              <w:t>1</w:t>
            </w:r>
            <w:r w:rsidR="00614698" w:rsidRPr="00717AA9">
              <w:rPr>
                <w:b/>
                <w:bCs/>
              </w:rPr>
              <w:t>0</w:t>
            </w:r>
            <w:r w:rsidRPr="00717AA9">
              <w:rPr>
                <w:b/>
                <w:bCs/>
              </w:rPr>
              <w:t>.</w:t>
            </w:r>
            <w:r w:rsidR="00614698" w:rsidRPr="00717AA9">
              <w:rPr>
                <w:b/>
                <w:bCs/>
              </w:rPr>
              <w:t>3</w:t>
            </w:r>
            <w:r w:rsidRPr="00717AA9">
              <w:rPr>
                <w:b/>
                <w:bCs/>
              </w:rPr>
              <w:t xml:space="preserve">. </w:t>
            </w:r>
            <w:r w:rsidR="00614698" w:rsidRPr="00717AA9">
              <w:rPr>
                <w:b/>
                <w:bCs/>
              </w:rPr>
              <w:t>Tooge välja p</w:t>
            </w:r>
            <w:r w:rsidR="00B34316" w:rsidRPr="00717AA9">
              <w:rPr>
                <w:b/>
                <w:bCs/>
              </w:rPr>
              <w:t>seudon</w:t>
            </w:r>
            <w:r w:rsidR="00614698" w:rsidRPr="00717AA9">
              <w:rPr>
                <w:b/>
                <w:bCs/>
              </w:rPr>
              <w:t>ü</w:t>
            </w:r>
            <w:r w:rsidR="00B34316" w:rsidRPr="00717AA9">
              <w:rPr>
                <w:b/>
                <w:bCs/>
              </w:rPr>
              <w:t>mi</w:t>
            </w:r>
            <w:r w:rsidR="008161F0" w:rsidRPr="00717AA9">
              <w:rPr>
                <w:b/>
                <w:bCs/>
              </w:rPr>
              <w:t>seeritud</w:t>
            </w:r>
            <w:r w:rsidR="00B34316" w:rsidRPr="00717AA9">
              <w:rPr>
                <w:b/>
                <w:bCs/>
              </w:rPr>
              <w:t xml:space="preserve"> andmete säilitamise aeg ja põhjendus. </w:t>
            </w:r>
          </w:p>
          <w:p w14:paraId="0AD93C73" w14:textId="77777777" w:rsidR="005C36F0" w:rsidRPr="00717AA9" w:rsidRDefault="00806415" w:rsidP="00E20D1D">
            <w:pPr>
              <w:pStyle w:val="Standard"/>
              <w:rPr>
                <w:b/>
                <w:bCs/>
              </w:rPr>
            </w:pPr>
            <w:r w:rsidRPr="00717AA9">
              <w:rPr>
                <w:b/>
                <w:bCs/>
              </w:rPr>
              <w:t>Kui andmeid ei pseudonü</w:t>
            </w:r>
            <w:r w:rsidR="00CC0A20" w:rsidRPr="00717AA9">
              <w:rPr>
                <w:b/>
                <w:bCs/>
              </w:rPr>
              <w:t>miseer</w:t>
            </w:r>
            <w:r w:rsidRPr="00717AA9">
              <w:rPr>
                <w:b/>
                <w:bCs/>
              </w:rPr>
              <w:t xml:space="preserve">ita, siis tuua välja </w:t>
            </w:r>
            <w:r w:rsidR="00CC0A20" w:rsidRPr="00717AA9">
              <w:rPr>
                <w:b/>
                <w:bCs/>
              </w:rPr>
              <w:t>andmete</w:t>
            </w:r>
            <w:r w:rsidRPr="00717AA9">
              <w:rPr>
                <w:b/>
                <w:bCs/>
              </w:rPr>
              <w:t xml:space="preserve"> kustutamise tähtaeg. </w:t>
            </w:r>
          </w:p>
          <w:p w14:paraId="4AF0C8E4" w14:textId="77777777" w:rsidR="00B34316" w:rsidRPr="00717AA9" w:rsidRDefault="00B34316" w:rsidP="00B34316">
            <w:pPr>
              <w:pStyle w:val="Standard"/>
              <w:rPr>
                <w:i/>
                <w:iCs/>
                <w:sz w:val="18"/>
                <w:szCs w:val="18"/>
              </w:rPr>
            </w:pPr>
            <w:r w:rsidRPr="00717AA9">
              <w:rPr>
                <w:i/>
                <w:iCs/>
                <w:sz w:val="18"/>
                <w:szCs w:val="18"/>
              </w:rPr>
              <w:t xml:space="preserve">Vähemalt kvartali ja aasta täpsusega. </w:t>
            </w:r>
          </w:p>
          <w:p w14:paraId="1257A6C0" w14:textId="77777777" w:rsidR="004937A7" w:rsidRPr="00717AA9" w:rsidRDefault="004937A7" w:rsidP="00E20D1D">
            <w:pPr>
              <w:pStyle w:val="Standard"/>
              <w:rPr>
                <w:bCs/>
              </w:rPr>
            </w:pPr>
          </w:p>
          <w:p w14:paraId="47A4D802" w14:textId="77777777" w:rsidR="000C3BFC" w:rsidRPr="00717AA9" w:rsidRDefault="00F54BEE" w:rsidP="00E20D1D">
            <w:pPr>
              <w:pStyle w:val="Standard"/>
              <w:rPr>
                <w:b/>
                <w:bCs/>
              </w:rPr>
            </w:pPr>
            <w:r w:rsidRPr="00F54BEE">
              <w:rPr>
                <w:bCs/>
              </w:rPr>
              <w:t>Uuringus ei kasutata pseudonümiseeritud andmeid.</w:t>
            </w:r>
          </w:p>
          <w:p w14:paraId="19FFB0C7" w14:textId="77777777" w:rsidR="000C3BFC" w:rsidRPr="00717AA9" w:rsidRDefault="000C3BFC" w:rsidP="00E20D1D">
            <w:pPr>
              <w:pStyle w:val="Standard"/>
              <w:rPr>
                <w:b/>
                <w:bCs/>
              </w:rPr>
            </w:pPr>
          </w:p>
        </w:tc>
      </w:tr>
    </w:tbl>
    <w:p w14:paraId="479E9D27" w14:textId="77777777" w:rsidR="005C36F0" w:rsidRPr="00717AA9" w:rsidRDefault="005C36F0">
      <w:pPr>
        <w:pStyle w:val="Standard"/>
        <w:rPr>
          <w:b/>
          <w:bCs/>
        </w:rPr>
      </w:pPr>
    </w:p>
    <w:tbl>
      <w:tblPr>
        <w:tblStyle w:val="TableGrid"/>
        <w:tblW w:w="0" w:type="auto"/>
        <w:tblLook w:val="04A0" w:firstRow="1" w:lastRow="0" w:firstColumn="1" w:lastColumn="0" w:noHBand="0" w:noVBand="1"/>
      </w:tblPr>
      <w:tblGrid>
        <w:gridCol w:w="4814"/>
        <w:gridCol w:w="4814"/>
      </w:tblGrid>
      <w:tr w:rsidR="00717AA9" w:rsidRPr="00717AA9" w14:paraId="10BC0337" w14:textId="77777777" w:rsidTr="00882FDB">
        <w:tc>
          <w:tcPr>
            <w:tcW w:w="4814" w:type="dxa"/>
          </w:tcPr>
          <w:p w14:paraId="2AFFBDB5" w14:textId="77777777" w:rsidR="00882FDB" w:rsidRPr="00717AA9" w:rsidRDefault="00882FDB">
            <w:pPr>
              <w:pStyle w:val="Standard"/>
              <w:rPr>
                <w:b/>
                <w:bCs/>
              </w:rPr>
            </w:pPr>
            <w:r w:rsidRPr="00717AA9">
              <w:rPr>
                <w:b/>
                <w:bCs/>
              </w:rPr>
              <w:t>1</w:t>
            </w:r>
            <w:r w:rsidR="00806415" w:rsidRPr="00717AA9">
              <w:rPr>
                <w:b/>
                <w:bCs/>
              </w:rPr>
              <w:t>1</w:t>
            </w:r>
            <w:r w:rsidRPr="00717AA9">
              <w:rPr>
                <w:b/>
                <w:bCs/>
              </w:rPr>
              <w:t>. Kas andmesubjekti teavitatakse isikuandmete töötlemisest?</w:t>
            </w:r>
          </w:p>
          <w:p w14:paraId="301D9435" w14:textId="77777777" w:rsidR="0069169B" w:rsidRPr="00717AA9" w:rsidRDefault="0069169B">
            <w:pPr>
              <w:pStyle w:val="Standard"/>
              <w:rPr>
                <w:b/>
                <w:bCs/>
                <w:i/>
                <w:iCs/>
                <w:sz w:val="16"/>
                <w:szCs w:val="16"/>
              </w:rPr>
            </w:pPr>
            <w:r w:rsidRPr="00717AA9">
              <w:rPr>
                <w:b/>
                <w:bCs/>
                <w:i/>
                <w:iCs/>
                <w:sz w:val="16"/>
                <w:szCs w:val="16"/>
              </w:rPr>
              <w:t>Jah/ei</w:t>
            </w:r>
          </w:p>
        </w:tc>
        <w:tc>
          <w:tcPr>
            <w:tcW w:w="4814" w:type="dxa"/>
          </w:tcPr>
          <w:p w14:paraId="79CB8BB8" w14:textId="77777777" w:rsidR="00882FDB" w:rsidRPr="00717AA9" w:rsidRDefault="00F54BEE">
            <w:pPr>
              <w:pStyle w:val="Standard"/>
            </w:pPr>
            <w:r>
              <w:t>Ei</w:t>
            </w:r>
          </w:p>
        </w:tc>
      </w:tr>
      <w:tr w:rsidR="00717AA9" w:rsidRPr="00717AA9" w14:paraId="69175793" w14:textId="77777777" w:rsidTr="00882FDB">
        <w:tc>
          <w:tcPr>
            <w:tcW w:w="4814" w:type="dxa"/>
          </w:tcPr>
          <w:p w14:paraId="17D401B7" w14:textId="77777777" w:rsidR="00882FDB" w:rsidRPr="00717AA9" w:rsidRDefault="00882FDB">
            <w:pPr>
              <w:pStyle w:val="Standard"/>
              <w:rPr>
                <w:b/>
                <w:bCs/>
              </w:rPr>
            </w:pPr>
            <w:r w:rsidRPr="00717AA9">
              <w:rPr>
                <w:b/>
                <w:bCs/>
              </w:rPr>
              <w:t>1</w:t>
            </w:r>
            <w:r w:rsidR="00806415" w:rsidRPr="00717AA9">
              <w:rPr>
                <w:b/>
                <w:bCs/>
              </w:rPr>
              <w:t>1</w:t>
            </w:r>
            <w:r w:rsidRPr="00717AA9">
              <w:rPr>
                <w:b/>
                <w:bCs/>
              </w:rPr>
              <w:t>.1. Kui vastasite ei, siis palun põhjenda</w:t>
            </w:r>
            <w:r w:rsidR="00806415" w:rsidRPr="00717AA9">
              <w:rPr>
                <w:b/>
                <w:bCs/>
              </w:rPr>
              <w:t>ge</w:t>
            </w:r>
            <w:r w:rsidR="008555A7" w:rsidRPr="00717AA9">
              <w:rPr>
                <w:rStyle w:val="FootnoteReference"/>
                <w:b/>
                <w:bCs/>
              </w:rPr>
              <w:footnoteReference w:id="5"/>
            </w:r>
          </w:p>
        </w:tc>
        <w:tc>
          <w:tcPr>
            <w:tcW w:w="4814" w:type="dxa"/>
          </w:tcPr>
          <w:p w14:paraId="3B528DD1" w14:textId="77777777" w:rsidR="00882FDB" w:rsidRPr="00C02EB3" w:rsidRDefault="00C02EB3">
            <w:pPr>
              <w:pStyle w:val="Standard"/>
              <w:rPr>
                <w:bCs/>
              </w:rPr>
            </w:pPr>
            <w:r w:rsidRPr="00C02EB3">
              <w:rPr>
                <w:bCs/>
              </w:rPr>
              <w:t>Potentsiaalselt on uuritavateks pea kõik Eesti ravikindlustatud elanikud. Andmesubjekti teavitamine nõuaks ebaproportsionaalselt suurt jõupingutust</w:t>
            </w:r>
            <w:r>
              <w:rPr>
                <w:bCs/>
              </w:rPr>
              <w:t>,</w:t>
            </w:r>
            <w:r w:rsidRPr="00C02EB3">
              <w:rPr>
                <w:bCs/>
              </w:rPr>
              <w:t xml:space="preserve"> sest andmesubjekte on kuni 1.3 </w:t>
            </w:r>
            <w:r w:rsidRPr="00C02EB3">
              <w:rPr>
                <w:bCs/>
              </w:rPr>
              <w:lastRenderedPageBreak/>
              <w:t>miljonit.</w:t>
            </w:r>
            <w:r>
              <w:rPr>
                <w:bCs/>
              </w:rPr>
              <w:t xml:space="preserve"> Kuna saame registriteks </w:t>
            </w:r>
            <w:r w:rsidRPr="00C02EB3">
              <w:rPr>
                <w:bCs/>
              </w:rPr>
              <w:t>anonümiseeritud andmeid</w:t>
            </w:r>
            <w:r>
              <w:rPr>
                <w:bCs/>
              </w:rPr>
              <w:t xml:space="preserve"> (</w:t>
            </w:r>
            <w:r w:rsidRPr="00C02EB3">
              <w:rPr>
                <w:bCs/>
              </w:rPr>
              <w:t>mis ei võimalda isiku tuvastamist</w:t>
            </w:r>
            <w:r>
              <w:rPr>
                <w:bCs/>
              </w:rPr>
              <w:t xml:space="preserve">), siis ei saagi me </w:t>
            </w:r>
            <w:r w:rsidRPr="00C02EB3">
              <w:rPr>
                <w:bCs/>
              </w:rPr>
              <w:t>andmesubjekti teavita</w:t>
            </w:r>
            <w:r>
              <w:rPr>
                <w:bCs/>
              </w:rPr>
              <w:t>da</w:t>
            </w:r>
            <w:r w:rsidRPr="00C02EB3">
              <w:rPr>
                <w:bCs/>
              </w:rPr>
              <w:t xml:space="preserve"> isikuandmete töötlemisest.</w:t>
            </w:r>
          </w:p>
        </w:tc>
      </w:tr>
      <w:tr w:rsidR="00717AA9" w:rsidRPr="00717AA9" w14:paraId="23702FBE" w14:textId="77777777" w:rsidTr="00882FDB">
        <w:tc>
          <w:tcPr>
            <w:tcW w:w="4814" w:type="dxa"/>
          </w:tcPr>
          <w:p w14:paraId="3F879BA3" w14:textId="77777777" w:rsidR="00882FDB" w:rsidRPr="00717AA9" w:rsidRDefault="008555A7">
            <w:pPr>
              <w:pStyle w:val="Standard"/>
              <w:rPr>
                <w:b/>
                <w:bCs/>
              </w:rPr>
            </w:pPr>
            <w:r w:rsidRPr="00717AA9">
              <w:rPr>
                <w:b/>
                <w:bCs/>
              </w:rPr>
              <w:lastRenderedPageBreak/>
              <w:t>1</w:t>
            </w:r>
            <w:r w:rsidR="00806415" w:rsidRPr="00717AA9">
              <w:rPr>
                <w:b/>
                <w:bCs/>
              </w:rPr>
              <w:t>1</w:t>
            </w:r>
            <w:r w:rsidRPr="00717AA9">
              <w:rPr>
                <w:b/>
                <w:bCs/>
              </w:rPr>
              <w:t xml:space="preserve">.2. Kui vastasite jah, siis kirjeldage, kuidas teavitatakse. </w:t>
            </w:r>
          </w:p>
        </w:tc>
        <w:tc>
          <w:tcPr>
            <w:tcW w:w="4814" w:type="dxa"/>
          </w:tcPr>
          <w:p w14:paraId="506A9202" w14:textId="77777777" w:rsidR="00882FDB" w:rsidRPr="00717AA9" w:rsidRDefault="00882FDB">
            <w:pPr>
              <w:pStyle w:val="Standard"/>
              <w:rPr>
                <w:bCs/>
              </w:rPr>
            </w:pPr>
          </w:p>
        </w:tc>
      </w:tr>
      <w:tr w:rsidR="008555A7" w:rsidRPr="00717AA9" w14:paraId="5C8B0433" w14:textId="77777777" w:rsidTr="00882FDB">
        <w:tc>
          <w:tcPr>
            <w:tcW w:w="4814" w:type="dxa"/>
          </w:tcPr>
          <w:p w14:paraId="21E45DC6" w14:textId="77777777" w:rsidR="008555A7" w:rsidRPr="00717AA9" w:rsidRDefault="008555A7">
            <w:pPr>
              <w:pStyle w:val="Standard"/>
              <w:rPr>
                <w:b/>
                <w:bCs/>
              </w:rPr>
            </w:pPr>
            <w:r w:rsidRPr="00717AA9">
              <w:rPr>
                <w:b/>
                <w:bCs/>
              </w:rPr>
              <w:t>1</w:t>
            </w:r>
            <w:r w:rsidR="00806415" w:rsidRPr="00717AA9">
              <w:rPr>
                <w:b/>
                <w:bCs/>
              </w:rPr>
              <w:t>1</w:t>
            </w:r>
            <w:r w:rsidRPr="00717AA9">
              <w:rPr>
                <w:b/>
                <w:bCs/>
              </w:rPr>
              <w:t>.3. Kust on leitavad andmekaitsetingimused</w:t>
            </w:r>
            <w:r w:rsidRPr="00717AA9">
              <w:rPr>
                <w:rStyle w:val="FootnoteReference"/>
                <w:b/>
                <w:bCs/>
              </w:rPr>
              <w:footnoteReference w:id="6"/>
            </w:r>
            <w:r w:rsidR="00767986" w:rsidRPr="00717AA9">
              <w:rPr>
                <w:b/>
                <w:bCs/>
              </w:rPr>
              <w:t>?</w:t>
            </w:r>
          </w:p>
        </w:tc>
        <w:tc>
          <w:tcPr>
            <w:tcW w:w="4814" w:type="dxa"/>
          </w:tcPr>
          <w:p w14:paraId="50EE2EEC" w14:textId="77777777" w:rsidR="008555A7" w:rsidRPr="00717AA9" w:rsidRDefault="008555A7">
            <w:pPr>
              <w:pStyle w:val="Standard"/>
              <w:rPr>
                <w:bCs/>
              </w:rPr>
            </w:pPr>
          </w:p>
        </w:tc>
      </w:tr>
    </w:tbl>
    <w:p w14:paraId="5C2D0B04" w14:textId="77777777" w:rsidR="00882FDB" w:rsidRPr="00717AA9" w:rsidRDefault="00882FDB">
      <w:pPr>
        <w:pStyle w:val="Standard"/>
        <w:rPr>
          <w:b/>
          <w:bCs/>
        </w:rPr>
      </w:pPr>
    </w:p>
    <w:p w14:paraId="470C8746" w14:textId="77777777" w:rsidR="005C36F0" w:rsidRPr="00717AA9" w:rsidRDefault="005C36F0">
      <w:pPr>
        <w:pStyle w:val="Standard"/>
        <w:rPr>
          <w:b/>
          <w:bCs/>
        </w:rPr>
      </w:pPr>
    </w:p>
    <w:tbl>
      <w:tblPr>
        <w:tblStyle w:val="TableGrid"/>
        <w:tblW w:w="0" w:type="auto"/>
        <w:tblLook w:val="04A0" w:firstRow="1" w:lastRow="0" w:firstColumn="1" w:lastColumn="0" w:noHBand="0" w:noVBand="1"/>
      </w:tblPr>
      <w:tblGrid>
        <w:gridCol w:w="4814"/>
        <w:gridCol w:w="4814"/>
      </w:tblGrid>
      <w:tr w:rsidR="00717AA9" w:rsidRPr="00717AA9" w14:paraId="5A455A3F" w14:textId="77777777" w:rsidTr="00804756">
        <w:tc>
          <w:tcPr>
            <w:tcW w:w="4814" w:type="dxa"/>
          </w:tcPr>
          <w:p w14:paraId="46AE54B5" w14:textId="77777777" w:rsidR="00804756" w:rsidRPr="00717AA9" w:rsidRDefault="00804756">
            <w:pPr>
              <w:pStyle w:val="Standard"/>
              <w:rPr>
                <w:b/>
                <w:bCs/>
              </w:rPr>
            </w:pPr>
            <w:r w:rsidRPr="00717AA9">
              <w:rPr>
                <w:b/>
                <w:bCs/>
              </w:rPr>
              <w:t>1</w:t>
            </w:r>
            <w:r w:rsidR="00806415" w:rsidRPr="00717AA9">
              <w:rPr>
                <w:b/>
                <w:bCs/>
              </w:rPr>
              <w:t>2</w:t>
            </w:r>
            <w:r w:rsidRPr="00717AA9">
              <w:rPr>
                <w:b/>
                <w:bCs/>
              </w:rPr>
              <w:t>.</w:t>
            </w:r>
            <w:r w:rsidR="00EB3183" w:rsidRPr="00717AA9">
              <w:rPr>
                <w:b/>
                <w:bCs/>
              </w:rPr>
              <w:t xml:space="preserve"> Kas</w:t>
            </w:r>
            <w:r w:rsidRPr="00717AA9">
              <w:rPr>
                <w:b/>
                <w:bCs/>
              </w:rPr>
              <w:t xml:space="preserve"> </w:t>
            </w:r>
            <w:r w:rsidR="00EB3183" w:rsidRPr="00717AA9">
              <w:rPr>
                <w:b/>
                <w:bCs/>
              </w:rPr>
              <w:t>i</w:t>
            </w:r>
            <w:r w:rsidRPr="00717AA9">
              <w:rPr>
                <w:b/>
                <w:bCs/>
              </w:rPr>
              <w:t>sikuandme</w:t>
            </w:r>
            <w:r w:rsidR="00EB3183" w:rsidRPr="00717AA9">
              <w:rPr>
                <w:b/>
                <w:bCs/>
              </w:rPr>
              <w:t>id</w:t>
            </w:r>
            <w:r w:rsidRPr="00717AA9">
              <w:rPr>
                <w:b/>
                <w:bCs/>
              </w:rPr>
              <w:t xml:space="preserve"> edasta</w:t>
            </w:r>
            <w:r w:rsidR="00EB3183" w:rsidRPr="00717AA9">
              <w:rPr>
                <w:b/>
                <w:bCs/>
              </w:rPr>
              <w:t>takse</w:t>
            </w:r>
            <w:r w:rsidRPr="00717AA9">
              <w:rPr>
                <w:b/>
                <w:bCs/>
              </w:rPr>
              <w:t xml:space="preserve"> </w:t>
            </w:r>
            <w:r w:rsidR="008555A7" w:rsidRPr="00717AA9">
              <w:rPr>
                <w:b/>
                <w:bCs/>
              </w:rPr>
              <w:t>kolmandatesse riikidesse</w:t>
            </w:r>
            <w:r w:rsidRPr="00717AA9">
              <w:rPr>
                <w:rStyle w:val="FootnoteReference"/>
                <w:b/>
                <w:bCs/>
              </w:rPr>
              <w:footnoteReference w:id="7"/>
            </w:r>
          </w:p>
          <w:p w14:paraId="28F47A26" w14:textId="77777777" w:rsidR="00804756" w:rsidRPr="00717AA9" w:rsidRDefault="00D61E12">
            <w:pPr>
              <w:pStyle w:val="Standard"/>
              <w:rPr>
                <w:i/>
                <w:iCs/>
                <w:sz w:val="16"/>
                <w:szCs w:val="16"/>
              </w:rPr>
            </w:pPr>
            <w:r w:rsidRPr="00717AA9">
              <w:rPr>
                <w:i/>
                <w:iCs/>
                <w:sz w:val="18"/>
                <w:szCs w:val="18"/>
              </w:rPr>
              <w:t xml:space="preserve">Jah/ei. </w:t>
            </w:r>
            <w:r w:rsidR="00804756" w:rsidRPr="00717AA9">
              <w:rPr>
                <w:i/>
                <w:iCs/>
                <w:sz w:val="16"/>
                <w:szCs w:val="16"/>
              </w:rPr>
              <w:t xml:space="preserve">Kui vastate küsimusele jah, siis täita ka järgnevad lahtrid. </w:t>
            </w:r>
          </w:p>
        </w:tc>
        <w:tc>
          <w:tcPr>
            <w:tcW w:w="4814" w:type="dxa"/>
          </w:tcPr>
          <w:p w14:paraId="45FEC7D7" w14:textId="77777777" w:rsidR="00804756" w:rsidRPr="00717AA9" w:rsidRDefault="00CB7371">
            <w:pPr>
              <w:pStyle w:val="Standard"/>
              <w:rPr>
                <w:i/>
                <w:iCs/>
              </w:rPr>
            </w:pPr>
            <w:r>
              <w:rPr>
                <w:i/>
                <w:iCs/>
              </w:rPr>
              <w:t>Ei</w:t>
            </w:r>
          </w:p>
        </w:tc>
      </w:tr>
      <w:tr w:rsidR="00717AA9" w:rsidRPr="00717AA9" w14:paraId="46DFD507" w14:textId="77777777" w:rsidTr="00804756">
        <w:tc>
          <w:tcPr>
            <w:tcW w:w="4814" w:type="dxa"/>
          </w:tcPr>
          <w:p w14:paraId="31A4063E" w14:textId="77777777" w:rsidR="00804756" w:rsidRPr="00717AA9" w:rsidRDefault="00804756" w:rsidP="00EB3183">
            <w:pPr>
              <w:pStyle w:val="Standard"/>
              <w:rPr>
                <w:i/>
                <w:iCs/>
                <w:sz w:val="16"/>
                <w:szCs w:val="16"/>
              </w:rPr>
            </w:pPr>
            <w:r w:rsidRPr="00717AA9">
              <w:rPr>
                <w:b/>
                <w:bCs/>
              </w:rPr>
              <w:t>1</w:t>
            </w:r>
            <w:r w:rsidR="00806415" w:rsidRPr="00717AA9">
              <w:rPr>
                <w:b/>
                <w:bCs/>
              </w:rPr>
              <w:t>2</w:t>
            </w:r>
            <w:r w:rsidRPr="00717AA9">
              <w:rPr>
                <w:b/>
                <w:bCs/>
              </w:rPr>
              <w:t>.1.</w:t>
            </w:r>
            <w:r w:rsidR="00767986" w:rsidRPr="00717AA9">
              <w:rPr>
                <w:b/>
                <w:bCs/>
              </w:rPr>
              <w:t xml:space="preserve"> </w:t>
            </w:r>
            <w:r w:rsidR="00EB3183" w:rsidRPr="00717AA9">
              <w:rPr>
                <w:b/>
                <w:bCs/>
              </w:rPr>
              <w:t>Lo</w:t>
            </w:r>
            <w:r w:rsidR="00D61E12" w:rsidRPr="00717AA9">
              <w:rPr>
                <w:b/>
                <w:bCs/>
              </w:rPr>
              <w:t>e</w:t>
            </w:r>
            <w:r w:rsidR="00EB3183" w:rsidRPr="00717AA9">
              <w:rPr>
                <w:b/>
                <w:bCs/>
              </w:rPr>
              <w:t>tlege r</w:t>
            </w:r>
            <w:r w:rsidRPr="00717AA9">
              <w:rPr>
                <w:b/>
                <w:bCs/>
              </w:rPr>
              <w:t>iigid, kuhu isikuandmeid edastatakse</w:t>
            </w:r>
            <w:r w:rsidR="00767986" w:rsidRPr="00717AA9">
              <w:rPr>
                <w:b/>
                <w:bCs/>
              </w:rPr>
              <w:t>.</w:t>
            </w:r>
          </w:p>
        </w:tc>
        <w:tc>
          <w:tcPr>
            <w:tcW w:w="4814" w:type="dxa"/>
          </w:tcPr>
          <w:p w14:paraId="7C904CD0" w14:textId="77777777" w:rsidR="00DD390E" w:rsidRPr="00717AA9" w:rsidRDefault="00DD390E">
            <w:pPr>
              <w:pStyle w:val="Standard"/>
              <w:rPr>
                <w:i/>
                <w:iCs/>
              </w:rPr>
            </w:pPr>
          </w:p>
        </w:tc>
      </w:tr>
      <w:tr w:rsidR="00804756" w:rsidRPr="00717AA9" w14:paraId="2AECB652" w14:textId="77777777" w:rsidTr="00804756">
        <w:tc>
          <w:tcPr>
            <w:tcW w:w="4814" w:type="dxa"/>
          </w:tcPr>
          <w:p w14:paraId="13FC44FD" w14:textId="77777777" w:rsidR="00804756" w:rsidRPr="00717AA9" w:rsidRDefault="00804756">
            <w:pPr>
              <w:pStyle w:val="Standard"/>
              <w:rPr>
                <w:b/>
                <w:bCs/>
              </w:rPr>
            </w:pPr>
            <w:r w:rsidRPr="00717AA9">
              <w:rPr>
                <w:b/>
                <w:bCs/>
              </w:rPr>
              <w:t>1</w:t>
            </w:r>
            <w:r w:rsidR="00806415" w:rsidRPr="00717AA9">
              <w:rPr>
                <w:b/>
                <w:bCs/>
              </w:rPr>
              <w:t>2</w:t>
            </w:r>
            <w:r w:rsidRPr="00717AA9">
              <w:rPr>
                <w:b/>
                <w:bCs/>
              </w:rPr>
              <w:t xml:space="preserve">.2. </w:t>
            </w:r>
            <w:r w:rsidR="008555A7" w:rsidRPr="00717AA9">
              <w:rPr>
                <w:b/>
                <w:bCs/>
              </w:rPr>
              <w:t>Milliseid lisakaitsemeetmeid kasutatakse</w:t>
            </w:r>
            <w:r w:rsidR="00EB3183" w:rsidRPr="00717AA9">
              <w:rPr>
                <w:b/>
                <w:bCs/>
              </w:rPr>
              <w:t>?</w:t>
            </w:r>
          </w:p>
        </w:tc>
        <w:tc>
          <w:tcPr>
            <w:tcW w:w="4814" w:type="dxa"/>
          </w:tcPr>
          <w:p w14:paraId="4FEF5069" w14:textId="77777777" w:rsidR="00804756" w:rsidRPr="00717AA9" w:rsidRDefault="00804756">
            <w:pPr>
              <w:pStyle w:val="Standard"/>
              <w:rPr>
                <w:i/>
                <w:iCs/>
              </w:rPr>
            </w:pPr>
          </w:p>
        </w:tc>
      </w:tr>
    </w:tbl>
    <w:p w14:paraId="561B2A06" w14:textId="77777777" w:rsidR="00804756" w:rsidRPr="00717AA9" w:rsidRDefault="00804756">
      <w:pPr>
        <w:pStyle w:val="Standard"/>
        <w:rPr>
          <w:b/>
          <w:bCs/>
        </w:rPr>
      </w:pPr>
    </w:p>
    <w:p w14:paraId="6B2817E5" w14:textId="77777777" w:rsidR="00D76103" w:rsidRPr="00717AA9" w:rsidRDefault="00D76103">
      <w:pPr>
        <w:pStyle w:val="Standard"/>
        <w:rPr>
          <w:b/>
          <w:bCs/>
        </w:rPr>
      </w:pPr>
    </w:p>
    <w:p w14:paraId="7C29A5B9" w14:textId="77777777" w:rsidR="00D76103" w:rsidRPr="00717AA9" w:rsidRDefault="009044A4">
      <w:pPr>
        <w:pStyle w:val="Standard"/>
        <w:rPr>
          <w:b/>
          <w:bCs/>
        </w:rPr>
      </w:pPr>
      <w:r w:rsidRPr="00717AA9">
        <w:rPr>
          <w:b/>
          <w:bCs/>
        </w:rPr>
        <w:t>Kinnitan, et taotluses esitatud andmed vastavad tegelikkusele.</w:t>
      </w:r>
    </w:p>
    <w:p w14:paraId="64C79C05" w14:textId="77777777" w:rsidR="00D76103" w:rsidRPr="00717AA9" w:rsidRDefault="00D76103">
      <w:pPr>
        <w:pStyle w:val="Standard"/>
        <w:rPr>
          <w:b/>
          <w:bCs/>
        </w:rPr>
      </w:pPr>
    </w:p>
    <w:p w14:paraId="58B968B8" w14:textId="77777777" w:rsidR="00123FD0" w:rsidRPr="00717AA9" w:rsidRDefault="00123FD0">
      <w:pPr>
        <w:pStyle w:val="Standard"/>
        <w:rPr>
          <w:b/>
          <w:bCs/>
        </w:rPr>
      </w:pPr>
    </w:p>
    <w:p w14:paraId="5BF3532D" w14:textId="77777777" w:rsidR="00D76103" w:rsidRPr="00717AA9" w:rsidRDefault="009044A4">
      <w:pPr>
        <w:pStyle w:val="Standard"/>
        <w:rPr>
          <w:b/>
          <w:bCs/>
        </w:rPr>
      </w:pPr>
      <w:r w:rsidRPr="00717AA9">
        <w:rPr>
          <w:b/>
          <w:bCs/>
        </w:rPr>
        <w:t>_____________________________</w:t>
      </w:r>
      <w:r w:rsidRPr="00717AA9">
        <w:rPr>
          <w:b/>
          <w:bCs/>
        </w:rPr>
        <w:tab/>
      </w:r>
      <w:r w:rsidRPr="00717AA9">
        <w:rPr>
          <w:b/>
          <w:bCs/>
        </w:rPr>
        <w:tab/>
      </w:r>
      <w:r w:rsidRPr="00717AA9">
        <w:rPr>
          <w:b/>
          <w:bCs/>
        </w:rPr>
        <w:tab/>
      </w:r>
      <w:r w:rsidRPr="00717AA9">
        <w:rPr>
          <w:b/>
          <w:bCs/>
        </w:rPr>
        <w:tab/>
      </w:r>
      <w:r w:rsidRPr="00717AA9">
        <w:rPr>
          <w:b/>
          <w:bCs/>
        </w:rPr>
        <w:tab/>
      </w:r>
      <w:r w:rsidRPr="00717AA9">
        <w:rPr>
          <w:b/>
          <w:bCs/>
        </w:rPr>
        <w:tab/>
        <w:t>____________________</w:t>
      </w:r>
    </w:p>
    <w:p w14:paraId="20CADA9D" w14:textId="77777777" w:rsidR="00D76103" w:rsidRPr="00717AA9" w:rsidRDefault="009044A4">
      <w:pPr>
        <w:pStyle w:val="Standard"/>
        <w:rPr>
          <w:i/>
          <w:iCs/>
          <w:sz w:val="18"/>
          <w:szCs w:val="18"/>
        </w:rPr>
      </w:pPr>
      <w:r w:rsidRPr="00717AA9">
        <w:rPr>
          <w:i/>
          <w:iCs/>
          <w:sz w:val="18"/>
          <w:szCs w:val="18"/>
        </w:rPr>
        <w:t>(allkirjastaja ees- ja perenimi)</w:t>
      </w:r>
      <w:r w:rsidR="00123FD0" w:rsidRPr="00717AA9">
        <w:rPr>
          <w:rStyle w:val="FootnoteReference"/>
          <w:i/>
          <w:iCs/>
          <w:sz w:val="18"/>
          <w:szCs w:val="18"/>
        </w:rPr>
        <w:footnoteReference w:id="8"/>
      </w:r>
      <w:r w:rsidRPr="00717AA9">
        <w:rPr>
          <w:i/>
          <w:iCs/>
          <w:sz w:val="18"/>
          <w:szCs w:val="18"/>
        </w:rPr>
        <w:tab/>
      </w:r>
      <w:r w:rsidRPr="00717AA9">
        <w:rPr>
          <w:i/>
          <w:iCs/>
          <w:sz w:val="18"/>
          <w:szCs w:val="18"/>
        </w:rPr>
        <w:tab/>
      </w:r>
      <w:r w:rsidRPr="00717AA9">
        <w:rPr>
          <w:i/>
          <w:iCs/>
          <w:sz w:val="18"/>
          <w:szCs w:val="18"/>
        </w:rPr>
        <w:tab/>
      </w:r>
      <w:r w:rsidRPr="00717AA9">
        <w:rPr>
          <w:i/>
          <w:iCs/>
          <w:sz w:val="18"/>
          <w:szCs w:val="18"/>
        </w:rPr>
        <w:tab/>
      </w:r>
      <w:r w:rsidRPr="00717AA9">
        <w:rPr>
          <w:i/>
          <w:iCs/>
          <w:sz w:val="18"/>
          <w:szCs w:val="18"/>
        </w:rPr>
        <w:tab/>
      </w:r>
      <w:r w:rsidRPr="00717AA9">
        <w:rPr>
          <w:i/>
          <w:iCs/>
          <w:sz w:val="18"/>
          <w:szCs w:val="18"/>
        </w:rPr>
        <w:tab/>
      </w:r>
      <w:r w:rsidRPr="00717AA9">
        <w:rPr>
          <w:i/>
          <w:iCs/>
          <w:sz w:val="18"/>
          <w:szCs w:val="18"/>
        </w:rPr>
        <w:tab/>
      </w:r>
      <w:r w:rsidRPr="00717AA9">
        <w:rPr>
          <w:i/>
          <w:iCs/>
          <w:sz w:val="18"/>
          <w:szCs w:val="18"/>
        </w:rPr>
        <w:tab/>
        <w:t>(allkiri ja kuupäev)</w:t>
      </w:r>
    </w:p>
    <w:p w14:paraId="213176C7" w14:textId="77777777" w:rsidR="00D76103" w:rsidRPr="00717AA9" w:rsidRDefault="00D76103">
      <w:pPr>
        <w:pStyle w:val="Standard"/>
        <w:rPr>
          <w:b/>
          <w:bCs/>
        </w:rPr>
      </w:pPr>
    </w:p>
    <w:p w14:paraId="01A67D8C" w14:textId="77777777" w:rsidR="00D76103" w:rsidRPr="00717AA9" w:rsidRDefault="00D76103">
      <w:pPr>
        <w:pStyle w:val="Standard"/>
        <w:rPr>
          <w:b/>
          <w:bCs/>
        </w:rPr>
      </w:pPr>
    </w:p>
    <w:p w14:paraId="6B2B21BF" w14:textId="77777777" w:rsidR="00F22B14" w:rsidRPr="00717AA9" w:rsidRDefault="00F22B14">
      <w:pPr>
        <w:pStyle w:val="Standard"/>
        <w:jc w:val="right"/>
        <w:rPr>
          <w:i/>
          <w:iCs/>
        </w:rPr>
      </w:pPr>
    </w:p>
    <w:p w14:paraId="70BA9DF0" w14:textId="77777777" w:rsidR="000C3BFC" w:rsidRPr="00717AA9" w:rsidRDefault="000C3BFC" w:rsidP="000C3BFC">
      <w:pPr>
        <w:pStyle w:val="Standard"/>
        <w:rPr>
          <w:b/>
          <w:bCs/>
        </w:rPr>
      </w:pPr>
    </w:p>
    <w:p w14:paraId="4249E7D0" w14:textId="77777777" w:rsidR="000C3BFC" w:rsidRPr="00717AA9" w:rsidRDefault="000C3BFC" w:rsidP="000C3BFC">
      <w:pPr>
        <w:pStyle w:val="Standard"/>
        <w:rPr>
          <w:b/>
          <w:bCs/>
        </w:rPr>
      </w:pPr>
      <w:r w:rsidRPr="00717AA9">
        <w:rPr>
          <w:b/>
          <w:bCs/>
        </w:rPr>
        <w:t>Taotluse lisad</w:t>
      </w:r>
      <w:r w:rsidR="006C2148" w:rsidRPr="00717AA9">
        <w:rPr>
          <w:rStyle w:val="FootnoteReference"/>
          <w:b/>
          <w:bCs/>
        </w:rPr>
        <w:footnoteReference w:id="9"/>
      </w:r>
      <w:r w:rsidRPr="00717AA9">
        <w:rPr>
          <w:b/>
          <w:bCs/>
        </w:rPr>
        <w:t>:</w:t>
      </w:r>
    </w:p>
    <w:p w14:paraId="284EF87F" w14:textId="77777777" w:rsidR="000C3BFC" w:rsidRPr="00717AA9" w:rsidRDefault="000C3BFC" w:rsidP="000C3BFC">
      <w:pPr>
        <w:pStyle w:val="Standard"/>
        <w:rPr>
          <w:b/>
          <w:bCs/>
        </w:rPr>
      </w:pPr>
    </w:p>
    <w:tbl>
      <w:tblPr>
        <w:tblStyle w:val="TableGrid"/>
        <w:tblW w:w="0" w:type="auto"/>
        <w:tblLook w:val="04A0" w:firstRow="1" w:lastRow="0" w:firstColumn="1" w:lastColumn="0" w:noHBand="0" w:noVBand="1"/>
      </w:tblPr>
      <w:tblGrid>
        <w:gridCol w:w="8642"/>
        <w:gridCol w:w="986"/>
      </w:tblGrid>
      <w:tr w:rsidR="00717AA9" w:rsidRPr="00717AA9" w14:paraId="289F3B96" w14:textId="77777777" w:rsidTr="00D53520">
        <w:tc>
          <w:tcPr>
            <w:tcW w:w="8642" w:type="dxa"/>
          </w:tcPr>
          <w:p w14:paraId="789FE31F" w14:textId="77777777" w:rsidR="00D53520" w:rsidRPr="00717AA9" w:rsidRDefault="00D53520" w:rsidP="000C3BFC">
            <w:pPr>
              <w:pStyle w:val="Standard"/>
              <w:rPr>
                <w:b/>
                <w:bCs/>
              </w:rPr>
            </w:pPr>
            <w:r w:rsidRPr="00717AA9">
              <w:t xml:space="preserve">Lisa 1: </w:t>
            </w:r>
            <w:r w:rsidRPr="00717AA9">
              <w:rPr>
                <w:i/>
                <w:iCs/>
              </w:rPr>
              <w:t>Seaduse alusel loodud valdkonnapõhise eetikakomitee seisukoht (juhul, kui on olemas)</w:t>
            </w:r>
          </w:p>
        </w:tc>
        <w:tc>
          <w:tcPr>
            <w:tcW w:w="986" w:type="dxa"/>
          </w:tcPr>
          <w:p w14:paraId="28D904F0" w14:textId="77777777" w:rsidR="00D53520" w:rsidRPr="00717AA9" w:rsidRDefault="00D53520" w:rsidP="000C3BFC">
            <w:pPr>
              <w:pStyle w:val="Standard"/>
              <w:rPr>
                <w:b/>
                <w:bCs/>
              </w:rPr>
            </w:pPr>
          </w:p>
        </w:tc>
      </w:tr>
      <w:tr w:rsidR="00717AA9" w:rsidRPr="00717AA9" w14:paraId="286C9344" w14:textId="77777777" w:rsidTr="00D53520">
        <w:tc>
          <w:tcPr>
            <w:tcW w:w="8642" w:type="dxa"/>
          </w:tcPr>
          <w:p w14:paraId="7FBDBF82" w14:textId="77777777" w:rsidR="00D53520" w:rsidRPr="00717AA9" w:rsidRDefault="00D53520" w:rsidP="000C3BFC">
            <w:pPr>
              <w:pStyle w:val="Standard"/>
              <w:rPr>
                <w:b/>
                <w:bCs/>
              </w:rPr>
            </w:pPr>
            <w:r w:rsidRPr="00717AA9">
              <w:t xml:space="preserve">Lisa 2: </w:t>
            </w:r>
            <w:r w:rsidRPr="00717AA9">
              <w:rPr>
                <w:i/>
                <w:iCs/>
              </w:rPr>
              <w:t>Hankeleping ja/või tehniline kirjeldus</w:t>
            </w:r>
          </w:p>
        </w:tc>
        <w:tc>
          <w:tcPr>
            <w:tcW w:w="986" w:type="dxa"/>
          </w:tcPr>
          <w:p w14:paraId="2D68CC26" w14:textId="77777777" w:rsidR="00D53520" w:rsidRPr="00717AA9" w:rsidRDefault="00D53520" w:rsidP="000C3BFC">
            <w:pPr>
              <w:pStyle w:val="Standard"/>
              <w:rPr>
                <w:b/>
                <w:bCs/>
              </w:rPr>
            </w:pPr>
          </w:p>
        </w:tc>
      </w:tr>
    </w:tbl>
    <w:p w14:paraId="685A59CA" w14:textId="77777777" w:rsidR="009D206D" w:rsidRPr="00717AA9" w:rsidRDefault="009D206D" w:rsidP="000C3BFC">
      <w:pPr>
        <w:pStyle w:val="Standard"/>
        <w:rPr>
          <w:b/>
          <w:bCs/>
        </w:rPr>
      </w:pPr>
    </w:p>
    <w:p w14:paraId="6D337C29" w14:textId="77777777" w:rsidR="00F22B14" w:rsidRPr="00717AA9" w:rsidRDefault="00F22B14">
      <w:pPr>
        <w:pStyle w:val="Standard"/>
        <w:jc w:val="right"/>
        <w:rPr>
          <w:i/>
          <w:iCs/>
        </w:rPr>
      </w:pPr>
    </w:p>
    <w:sectPr w:rsidR="00F22B14" w:rsidRPr="00717AA9">
      <w:pgSz w:w="11906" w:h="16838"/>
      <w:pgMar w:top="1134" w:right="1134" w:bottom="1134" w:left="1134" w:header="708" w:footer="708" w:gutter="0"/>
      <w:cols w:space="708"/>
    </w:sectPr>
  </w:body>
</w:document>
</file>

<file path=word/customizations.xml><?xml version="1.0" encoding="utf-8"?>
<wne:tcg xmlns:r="http://schemas.openxmlformats.org/officeDocument/2006/relationships" xmlns:wne="http://schemas.microsoft.com/office/word/2006/wordml">
  <wne:keymaps>
    <wne:keymap wne:kcmPrimary="0634">
      <wne:acd wne:acdName="acd0"/>
    </wne:keymap>
  </wne:keymaps>
  <wne:toolbars>
    <wne:acdManifest>
      <wne:acdEntry wne:acdName="acd0"/>
    </wne:acdManifest>
  </wne:toolbars>
  <wne:acds>
    <wne:acd wne:argValue="pwBBAHIAaQBhAGwA" wne:acdName="acd0" wne:fciBasedOn="Symbol"/>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1A6EB4" w14:textId="77777777" w:rsidR="00A448E1" w:rsidRDefault="00A448E1">
      <w:r>
        <w:separator/>
      </w:r>
    </w:p>
  </w:endnote>
  <w:endnote w:type="continuationSeparator" w:id="0">
    <w:p w14:paraId="738EAAE3" w14:textId="77777777" w:rsidR="00A448E1" w:rsidRDefault="00A44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BA"/>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Liberation Sans">
    <w:altName w:val="Arial"/>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7E96D7" w14:textId="77777777" w:rsidR="00A448E1" w:rsidRDefault="00A448E1">
      <w:r>
        <w:rPr>
          <w:color w:val="000000"/>
        </w:rPr>
        <w:separator/>
      </w:r>
    </w:p>
  </w:footnote>
  <w:footnote w:type="continuationSeparator" w:id="0">
    <w:p w14:paraId="64DC8F41" w14:textId="77777777" w:rsidR="00A448E1" w:rsidRDefault="00A448E1">
      <w:r>
        <w:continuationSeparator/>
      </w:r>
    </w:p>
  </w:footnote>
  <w:footnote w:id="1">
    <w:p w14:paraId="6D7A2C87" w14:textId="77777777" w:rsidR="00B34316" w:rsidRPr="0069169B" w:rsidRDefault="00B34316">
      <w:pPr>
        <w:pStyle w:val="FootnoteText"/>
        <w:rPr>
          <w:sz w:val="16"/>
          <w:szCs w:val="16"/>
        </w:rPr>
      </w:pPr>
      <w:r w:rsidRPr="0069169B">
        <w:rPr>
          <w:rStyle w:val="FootnoteReference"/>
          <w:sz w:val="16"/>
          <w:szCs w:val="16"/>
        </w:rPr>
        <w:footnoteRef/>
      </w:r>
      <w:r w:rsidRPr="0069169B">
        <w:rPr>
          <w:sz w:val="16"/>
          <w:szCs w:val="16"/>
        </w:rPr>
        <w:t xml:space="preserve"> IKS § 6 lg</w:t>
      </w:r>
      <w:r w:rsidR="000C3BFC" w:rsidRPr="0069169B">
        <w:rPr>
          <w:sz w:val="16"/>
          <w:szCs w:val="16"/>
        </w:rPr>
        <w:t xml:space="preserve"> 4</w:t>
      </w:r>
      <w:r w:rsidR="002E7BB7">
        <w:rPr>
          <w:sz w:val="16"/>
          <w:szCs w:val="16"/>
        </w:rPr>
        <w:t xml:space="preserve"> - kui uuringus töödeldakse eriliiki isikuandmeid, on vajalik ka eetikakomitee kooskõlastus. </w:t>
      </w:r>
    </w:p>
  </w:footnote>
  <w:footnote w:id="2">
    <w:p w14:paraId="030B2052" w14:textId="77777777" w:rsidR="00232EF5" w:rsidRPr="0069169B" w:rsidRDefault="00232EF5" w:rsidP="00F27D21">
      <w:pPr>
        <w:pStyle w:val="Footnote"/>
        <w:jc w:val="both"/>
        <w:rPr>
          <w:sz w:val="16"/>
          <w:szCs w:val="16"/>
        </w:rPr>
      </w:pPr>
      <w:r w:rsidRPr="0069169B">
        <w:rPr>
          <w:rStyle w:val="FootnoteReference"/>
          <w:sz w:val="16"/>
          <w:szCs w:val="16"/>
        </w:rPr>
        <w:footnoteRef/>
      </w:r>
      <w:r w:rsidRPr="0069169B">
        <w:rPr>
          <w:sz w:val="16"/>
          <w:szCs w:val="16"/>
        </w:rPr>
        <w:t xml:space="preserve">Vastutav töötleja on uuringu läbiviija </w:t>
      </w:r>
      <w:r w:rsidR="005838C4" w:rsidRPr="0069169B">
        <w:rPr>
          <w:sz w:val="16"/>
          <w:szCs w:val="16"/>
        </w:rPr>
        <w:t>(tellija)</w:t>
      </w:r>
      <w:r w:rsidRPr="0069169B">
        <w:rPr>
          <w:sz w:val="16"/>
          <w:szCs w:val="16"/>
        </w:rPr>
        <w:t xml:space="preserve">. Juhul, kui </w:t>
      </w:r>
      <w:r w:rsidR="00F27D21">
        <w:rPr>
          <w:sz w:val="16"/>
          <w:szCs w:val="16"/>
        </w:rPr>
        <w:t>vastutav töötleja</w:t>
      </w:r>
      <w:r w:rsidRPr="0069169B">
        <w:rPr>
          <w:sz w:val="16"/>
          <w:szCs w:val="16"/>
        </w:rPr>
        <w:t xml:space="preserve"> kasutab uuringu läbiviimisel teisi isikuid ja asutusi, siis on need teised isikud</w:t>
      </w:r>
      <w:r w:rsidR="007D58EE">
        <w:rPr>
          <w:sz w:val="16"/>
          <w:szCs w:val="16"/>
        </w:rPr>
        <w:t xml:space="preserve"> </w:t>
      </w:r>
      <w:r w:rsidRPr="0069169B">
        <w:rPr>
          <w:sz w:val="16"/>
          <w:szCs w:val="16"/>
        </w:rPr>
        <w:t>ja asutused volitatud töötlejad</w:t>
      </w:r>
      <w:r w:rsidR="00EA37EA" w:rsidRPr="0069169B">
        <w:rPr>
          <w:sz w:val="16"/>
          <w:szCs w:val="16"/>
        </w:rPr>
        <w:t xml:space="preserve">. </w:t>
      </w:r>
      <w:r w:rsidR="00ED2120" w:rsidRPr="0069169B">
        <w:rPr>
          <w:sz w:val="16"/>
          <w:szCs w:val="16"/>
        </w:rPr>
        <w:t xml:space="preserve"> </w:t>
      </w:r>
    </w:p>
  </w:footnote>
  <w:footnote w:id="3">
    <w:p w14:paraId="5CE3A535" w14:textId="77777777" w:rsidR="00A474BE" w:rsidRPr="0069169B" w:rsidRDefault="00A474BE" w:rsidP="00F27D21">
      <w:pPr>
        <w:pStyle w:val="FootnoteText"/>
        <w:jc w:val="both"/>
        <w:rPr>
          <w:sz w:val="16"/>
          <w:szCs w:val="16"/>
        </w:rPr>
      </w:pPr>
      <w:r w:rsidRPr="0069169B">
        <w:rPr>
          <w:rStyle w:val="FootnoteReference"/>
          <w:sz w:val="16"/>
          <w:szCs w:val="16"/>
        </w:rPr>
        <w:footnoteRef/>
      </w:r>
      <w:r w:rsidRPr="0069169B">
        <w:rPr>
          <w:sz w:val="16"/>
          <w:szCs w:val="16"/>
        </w:rPr>
        <w:t xml:space="preserve"> </w:t>
      </w:r>
      <w:r w:rsidRPr="0069169B">
        <w:rPr>
          <w:sz w:val="16"/>
          <w:szCs w:val="16"/>
        </w:rPr>
        <w:t>Volitatud töötlejate loetelu peab olema ammendav</w:t>
      </w:r>
      <w:r w:rsidR="00B4159C" w:rsidRPr="0069169B">
        <w:rPr>
          <w:sz w:val="16"/>
          <w:szCs w:val="16"/>
        </w:rPr>
        <w:t xml:space="preserve"> ehk kõik volitatud töötlejad peavad olema nimetatud. Kui taotluse esitaja on volitatud töötleja, peab taotlusele olema lisatud dokument, kust nähtub, et </w:t>
      </w:r>
      <w:r w:rsidR="008161F0">
        <w:rPr>
          <w:sz w:val="16"/>
          <w:szCs w:val="16"/>
        </w:rPr>
        <w:t xml:space="preserve">vastutav töötleja on </w:t>
      </w:r>
      <w:r w:rsidR="00B4159C" w:rsidRPr="0069169B">
        <w:rPr>
          <w:sz w:val="16"/>
          <w:szCs w:val="16"/>
        </w:rPr>
        <w:t xml:space="preserve">volitatud töötlejale </w:t>
      </w:r>
      <w:r w:rsidR="008161F0">
        <w:rPr>
          <w:sz w:val="16"/>
          <w:szCs w:val="16"/>
        </w:rPr>
        <w:t>andnud</w:t>
      </w:r>
      <w:r w:rsidR="00B4159C" w:rsidRPr="0069169B">
        <w:rPr>
          <w:sz w:val="16"/>
          <w:szCs w:val="16"/>
        </w:rPr>
        <w:t xml:space="preserve"> volitus</w:t>
      </w:r>
      <w:r w:rsidR="008161F0">
        <w:rPr>
          <w:sz w:val="16"/>
          <w:szCs w:val="16"/>
        </w:rPr>
        <w:t>e</w:t>
      </w:r>
      <w:r w:rsidR="00B4159C" w:rsidRPr="0069169B">
        <w:rPr>
          <w:sz w:val="16"/>
          <w:szCs w:val="16"/>
        </w:rPr>
        <w:t xml:space="preserve"> </w:t>
      </w:r>
      <w:r w:rsidR="00F27D21">
        <w:rPr>
          <w:sz w:val="16"/>
          <w:szCs w:val="16"/>
        </w:rPr>
        <w:t xml:space="preserve">inspektsioonile </w:t>
      </w:r>
      <w:r w:rsidR="00B4159C" w:rsidRPr="0069169B">
        <w:rPr>
          <w:sz w:val="16"/>
          <w:szCs w:val="16"/>
        </w:rPr>
        <w:t xml:space="preserve">taotluse esitamiseks. </w:t>
      </w:r>
      <w:r w:rsidRPr="0069169B">
        <w:rPr>
          <w:sz w:val="16"/>
          <w:szCs w:val="16"/>
        </w:rPr>
        <w:t xml:space="preserve"> </w:t>
      </w:r>
    </w:p>
  </w:footnote>
  <w:footnote w:id="4">
    <w:p w14:paraId="2445BDAC" w14:textId="77777777" w:rsidR="00E20D1D" w:rsidRPr="00C157F0" w:rsidRDefault="00E20D1D" w:rsidP="00E20D1D">
      <w:pPr>
        <w:pStyle w:val="FootnoteText"/>
        <w:jc w:val="both"/>
        <w:rPr>
          <w:sz w:val="16"/>
          <w:szCs w:val="16"/>
        </w:rPr>
      </w:pPr>
      <w:r w:rsidRPr="00C157F0">
        <w:rPr>
          <w:rStyle w:val="FootnoteReference"/>
          <w:sz w:val="16"/>
          <w:szCs w:val="16"/>
        </w:rPr>
        <w:footnoteRef/>
      </w:r>
      <w:r w:rsidRPr="00C157F0">
        <w:rPr>
          <w:sz w:val="16"/>
          <w:szCs w:val="16"/>
        </w:rPr>
        <w:t xml:space="preserve"> </w:t>
      </w:r>
      <w:r w:rsidR="00D174C8" w:rsidRPr="00496807">
        <w:rPr>
          <w:sz w:val="16"/>
          <w:szCs w:val="16"/>
        </w:rPr>
        <w:t xml:space="preserve">Isikuandmete edastamine on lubatud üksnes sellisesse riiki, </w:t>
      </w:r>
      <w:r w:rsidR="00D174C8">
        <w:rPr>
          <w:sz w:val="16"/>
          <w:szCs w:val="16"/>
        </w:rPr>
        <w:t>millel</w:t>
      </w:r>
      <w:r w:rsidR="00D174C8" w:rsidRPr="00496807">
        <w:rPr>
          <w:sz w:val="16"/>
          <w:szCs w:val="16"/>
        </w:rPr>
        <w:t xml:space="preserve"> on piisav andmekaitse tase (Euroopa Liidu liikmesriigid; Euroopa</w:t>
      </w:r>
      <w:r w:rsidR="00D174C8">
        <w:rPr>
          <w:sz w:val="16"/>
          <w:szCs w:val="16"/>
        </w:rPr>
        <w:t xml:space="preserve"> </w:t>
      </w:r>
      <w:r w:rsidR="00D174C8" w:rsidRPr="00496807">
        <w:rPr>
          <w:sz w:val="16"/>
          <w:szCs w:val="16"/>
        </w:rPr>
        <w:t xml:space="preserve">Majanduspiirkonna lepinguga ühinenud riigid; riigid, mille isikuandmete kaitse tase on Euroopa Komisjoni poolt hinnatud piisavaks). </w:t>
      </w:r>
      <w:r w:rsidR="00D174C8">
        <w:rPr>
          <w:sz w:val="16"/>
          <w:szCs w:val="16"/>
        </w:rPr>
        <w:t>Kui kasutatava keskkonna server ei asu piisava andmekaitsetasemega riigis, saab i</w:t>
      </w:r>
      <w:r w:rsidR="00D174C8" w:rsidRPr="00496807">
        <w:rPr>
          <w:sz w:val="16"/>
          <w:szCs w:val="16"/>
        </w:rPr>
        <w:t xml:space="preserve">sikuandmete edastamine </w:t>
      </w:r>
      <w:r w:rsidR="00D174C8">
        <w:rPr>
          <w:sz w:val="16"/>
          <w:szCs w:val="16"/>
        </w:rPr>
        <w:t>toimuda isikuandmete kaitse üldmääruse</w:t>
      </w:r>
      <w:r w:rsidR="00D174C8" w:rsidRPr="00496807">
        <w:rPr>
          <w:sz w:val="16"/>
          <w:szCs w:val="16"/>
        </w:rPr>
        <w:t xml:space="preserve"> </w:t>
      </w:r>
      <w:r w:rsidR="00D174C8">
        <w:rPr>
          <w:sz w:val="16"/>
          <w:szCs w:val="16"/>
        </w:rPr>
        <w:t>(IKÜM)</w:t>
      </w:r>
      <w:r w:rsidR="00D174C8" w:rsidRPr="00496807">
        <w:rPr>
          <w:sz w:val="16"/>
          <w:szCs w:val="16"/>
        </w:rPr>
        <w:t xml:space="preserve"> artiklite 44-50 alusel. </w:t>
      </w:r>
      <w:r w:rsidR="00D174C8">
        <w:rPr>
          <w:sz w:val="16"/>
          <w:szCs w:val="16"/>
        </w:rPr>
        <w:t xml:space="preserve">Täiendav teave: </w:t>
      </w:r>
      <w:hyperlink r:id="rId1" w:history="1">
        <w:r w:rsidR="00D174C8" w:rsidRPr="00BB20D3">
          <w:rPr>
            <w:rStyle w:val="Hyperlink"/>
            <w:sz w:val="16"/>
            <w:szCs w:val="16"/>
          </w:rPr>
          <w:t>https://www.aki.ee/isikuandmed/andmetootlejale/isikuandmete-edastamine-valisriiki</w:t>
        </w:r>
      </w:hyperlink>
      <w:r w:rsidRPr="00C157F0">
        <w:rPr>
          <w:sz w:val="16"/>
          <w:szCs w:val="16"/>
        </w:rPr>
        <w:t>.</w:t>
      </w:r>
      <w:r w:rsidRPr="00C157F0">
        <w:t xml:space="preserve"> </w:t>
      </w:r>
      <w:r w:rsidRPr="00C157F0">
        <w:rPr>
          <w:sz w:val="16"/>
          <w:szCs w:val="16"/>
        </w:rPr>
        <w:t>Kui kasutatav</w:t>
      </w:r>
      <w:r w:rsidR="00D174C8">
        <w:rPr>
          <w:sz w:val="16"/>
          <w:szCs w:val="16"/>
        </w:rPr>
        <w:t>a</w:t>
      </w:r>
      <w:r w:rsidRPr="00C157F0">
        <w:rPr>
          <w:sz w:val="16"/>
          <w:szCs w:val="16"/>
        </w:rPr>
        <w:t xml:space="preserve"> keskkon</w:t>
      </w:r>
      <w:r w:rsidR="00D174C8">
        <w:rPr>
          <w:sz w:val="16"/>
          <w:szCs w:val="16"/>
        </w:rPr>
        <w:t>na server</w:t>
      </w:r>
      <w:r w:rsidRPr="00C157F0">
        <w:rPr>
          <w:sz w:val="16"/>
          <w:szCs w:val="16"/>
        </w:rPr>
        <w:t xml:space="preserve"> asub riigis, mis ei ole piisava andmekaitse tasemega, tuleb täita </w:t>
      </w:r>
      <w:r w:rsidR="00B4159C" w:rsidRPr="00C157F0">
        <w:rPr>
          <w:sz w:val="16"/>
          <w:szCs w:val="16"/>
        </w:rPr>
        <w:t xml:space="preserve">ka </w:t>
      </w:r>
      <w:r w:rsidRPr="00C157F0">
        <w:rPr>
          <w:sz w:val="16"/>
          <w:szCs w:val="16"/>
        </w:rPr>
        <w:t>taotluse punkt 1</w:t>
      </w:r>
      <w:r w:rsidR="00806415">
        <w:rPr>
          <w:sz w:val="16"/>
          <w:szCs w:val="16"/>
        </w:rPr>
        <w:t>2</w:t>
      </w:r>
      <w:r w:rsidRPr="00C157F0">
        <w:rPr>
          <w:sz w:val="16"/>
          <w:szCs w:val="16"/>
        </w:rPr>
        <w:t>.</w:t>
      </w:r>
      <w:r w:rsidR="00D174C8">
        <w:rPr>
          <w:sz w:val="16"/>
          <w:szCs w:val="16"/>
        </w:rPr>
        <w:t xml:space="preserve"> Edastamine tähendab ka isikuandmete hoidmist serveris. </w:t>
      </w:r>
    </w:p>
  </w:footnote>
  <w:footnote w:id="5">
    <w:p w14:paraId="228A2AAE" w14:textId="77777777" w:rsidR="008555A7" w:rsidRPr="00496807" w:rsidRDefault="008555A7">
      <w:pPr>
        <w:pStyle w:val="FootnoteText"/>
        <w:rPr>
          <w:sz w:val="16"/>
          <w:szCs w:val="16"/>
        </w:rPr>
      </w:pPr>
      <w:r w:rsidRPr="00496807">
        <w:rPr>
          <w:rStyle w:val="FootnoteReference"/>
          <w:sz w:val="16"/>
          <w:szCs w:val="16"/>
        </w:rPr>
        <w:footnoteRef/>
      </w:r>
      <w:r w:rsidRPr="00496807">
        <w:rPr>
          <w:sz w:val="16"/>
          <w:szCs w:val="16"/>
        </w:rPr>
        <w:t xml:space="preserve"> </w:t>
      </w:r>
      <w:r w:rsidRPr="00496807">
        <w:rPr>
          <w:sz w:val="16"/>
          <w:szCs w:val="16"/>
        </w:rPr>
        <w:t xml:space="preserve">Isikuandmete töötlemisest teavitamise kohustus tuleneb </w:t>
      </w:r>
      <w:r w:rsidR="0069169B">
        <w:rPr>
          <w:sz w:val="16"/>
          <w:szCs w:val="16"/>
        </w:rPr>
        <w:t>IKÜM-st</w:t>
      </w:r>
      <w:r w:rsidRPr="00496807">
        <w:rPr>
          <w:sz w:val="16"/>
          <w:szCs w:val="16"/>
        </w:rPr>
        <w:t xml:space="preserve">, teavitamata jätmine on põhjendatud väga erandlikel juhtudel. </w:t>
      </w:r>
    </w:p>
  </w:footnote>
  <w:footnote w:id="6">
    <w:p w14:paraId="29941BB8" w14:textId="77777777" w:rsidR="008555A7" w:rsidRPr="00496807" w:rsidRDefault="008555A7">
      <w:pPr>
        <w:pStyle w:val="FootnoteText"/>
        <w:rPr>
          <w:sz w:val="16"/>
          <w:szCs w:val="16"/>
        </w:rPr>
      </w:pPr>
      <w:r w:rsidRPr="00496807">
        <w:rPr>
          <w:rStyle w:val="FootnoteReference"/>
          <w:sz w:val="16"/>
          <w:szCs w:val="16"/>
        </w:rPr>
        <w:footnoteRef/>
      </w:r>
      <w:r w:rsidRPr="00496807">
        <w:rPr>
          <w:sz w:val="16"/>
          <w:szCs w:val="16"/>
        </w:rPr>
        <w:t xml:space="preserve"> </w:t>
      </w:r>
      <w:r w:rsidR="0069169B">
        <w:rPr>
          <w:sz w:val="16"/>
          <w:szCs w:val="16"/>
        </w:rPr>
        <w:t>IKÜM-i</w:t>
      </w:r>
      <w:r w:rsidRPr="00496807">
        <w:rPr>
          <w:sz w:val="16"/>
          <w:szCs w:val="16"/>
        </w:rPr>
        <w:t xml:space="preserve"> kohaselt tuleb andmesubjektile esitada isikuandmete töötlemise kohta teave ehk nn andmekaitsetingimused, mis peavad vastama IKÜM art 12 – 14 sätestatule. </w:t>
      </w:r>
    </w:p>
  </w:footnote>
  <w:footnote w:id="7">
    <w:p w14:paraId="31F838C3" w14:textId="77777777" w:rsidR="00804756" w:rsidRPr="0069169B" w:rsidRDefault="00804756" w:rsidP="00ED2120">
      <w:pPr>
        <w:pStyle w:val="Footnote"/>
        <w:jc w:val="both"/>
        <w:rPr>
          <w:color w:val="FF0000"/>
          <w:sz w:val="16"/>
          <w:szCs w:val="16"/>
        </w:rPr>
      </w:pPr>
      <w:r w:rsidRPr="00496807">
        <w:rPr>
          <w:rStyle w:val="FootnoteReference"/>
          <w:sz w:val="16"/>
          <w:szCs w:val="16"/>
        </w:rPr>
        <w:footnoteRef/>
      </w:r>
      <w:r w:rsidRPr="00496807">
        <w:rPr>
          <w:sz w:val="16"/>
          <w:szCs w:val="16"/>
        </w:rPr>
        <w:t xml:space="preserve">Isikuandmete edastamine on lubatud üksnes sellisesse riiki, </w:t>
      </w:r>
      <w:r w:rsidR="0032370A">
        <w:rPr>
          <w:sz w:val="16"/>
          <w:szCs w:val="16"/>
        </w:rPr>
        <w:t>millel</w:t>
      </w:r>
      <w:r w:rsidRPr="00496807">
        <w:rPr>
          <w:sz w:val="16"/>
          <w:szCs w:val="16"/>
        </w:rPr>
        <w:t xml:space="preserve"> on piisav andmekaitse tase (Euroopa Liidu liikmesriigid; Euroopa</w:t>
      </w:r>
      <w:r w:rsidR="0069169B">
        <w:rPr>
          <w:sz w:val="16"/>
          <w:szCs w:val="16"/>
        </w:rPr>
        <w:t xml:space="preserve"> </w:t>
      </w:r>
      <w:r w:rsidRPr="00496807">
        <w:rPr>
          <w:sz w:val="16"/>
          <w:szCs w:val="16"/>
        </w:rPr>
        <w:t xml:space="preserve">Majanduspiirkonna lepinguga ühinenud riigid; riigid, mille isikuandmete kaitse tase on Euroopa Komisjoni poolt hinnatud piisavaks). Isikuandmete </w:t>
      </w:r>
      <w:r w:rsidR="0032370A">
        <w:rPr>
          <w:sz w:val="16"/>
          <w:szCs w:val="16"/>
        </w:rPr>
        <w:t xml:space="preserve">nn </w:t>
      </w:r>
      <w:r w:rsidRPr="00496807">
        <w:rPr>
          <w:sz w:val="16"/>
          <w:szCs w:val="16"/>
        </w:rPr>
        <w:t xml:space="preserve">kolmandatesse riikidesse edastamine toimub </w:t>
      </w:r>
      <w:r w:rsidR="0069169B">
        <w:rPr>
          <w:sz w:val="16"/>
          <w:szCs w:val="16"/>
        </w:rPr>
        <w:t>IKÜM</w:t>
      </w:r>
      <w:r w:rsidR="00ED2120" w:rsidRPr="00496807">
        <w:rPr>
          <w:sz w:val="16"/>
          <w:szCs w:val="16"/>
        </w:rPr>
        <w:t xml:space="preserve"> artiklite 44-50 alusel. </w:t>
      </w:r>
      <w:r w:rsidR="0069169B">
        <w:rPr>
          <w:sz w:val="16"/>
          <w:szCs w:val="16"/>
        </w:rPr>
        <w:t xml:space="preserve">Täiendav teave: </w:t>
      </w:r>
      <w:hyperlink r:id="rId2" w:history="1">
        <w:r w:rsidR="0069169B" w:rsidRPr="00BB20D3">
          <w:rPr>
            <w:rStyle w:val="Hyperlink"/>
            <w:sz w:val="16"/>
            <w:szCs w:val="16"/>
          </w:rPr>
          <w:t>https://www.aki.ee/isikuandmed/andmetootlejale/isikuandmete-edastamine-valisriiki</w:t>
        </w:r>
      </w:hyperlink>
      <w:r w:rsidRPr="00496807">
        <w:rPr>
          <w:sz w:val="16"/>
          <w:szCs w:val="16"/>
        </w:rPr>
        <w:t>.</w:t>
      </w:r>
      <w:r w:rsidR="008555A7" w:rsidRPr="00496807">
        <w:rPr>
          <w:sz w:val="16"/>
          <w:szCs w:val="16"/>
        </w:rPr>
        <w:t xml:space="preserve"> </w:t>
      </w:r>
      <w:r w:rsidR="008555A7" w:rsidRPr="0069169B">
        <w:rPr>
          <w:color w:val="FF0000"/>
          <w:sz w:val="16"/>
          <w:szCs w:val="16"/>
        </w:rPr>
        <w:t xml:space="preserve"> </w:t>
      </w:r>
    </w:p>
  </w:footnote>
  <w:footnote w:id="8">
    <w:p w14:paraId="1AA65F4B" w14:textId="77777777" w:rsidR="00123FD0" w:rsidRPr="0069169B" w:rsidRDefault="00123FD0" w:rsidP="000C3BFC">
      <w:pPr>
        <w:pStyle w:val="FootnoteText"/>
        <w:jc w:val="both"/>
        <w:rPr>
          <w:sz w:val="16"/>
          <w:szCs w:val="16"/>
        </w:rPr>
      </w:pPr>
      <w:r w:rsidRPr="0069169B">
        <w:rPr>
          <w:rStyle w:val="FootnoteReference"/>
          <w:sz w:val="16"/>
          <w:szCs w:val="16"/>
        </w:rPr>
        <w:footnoteRef/>
      </w:r>
      <w:r w:rsidRPr="0069169B">
        <w:rPr>
          <w:sz w:val="16"/>
          <w:szCs w:val="16"/>
        </w:rPr>
        <w:t xml:space="preserve"> </w:t>
      </w:r>
      <w:r w:rsidR="000C3BFC" w:rsidRPr="0069169B">
        <w:rPr>
          <w:sz w:val="16"/>
          <w:szCs w:val="16"/>
        </w:rPr>
        <w:t>Taotluse saab a</w:t>
      </w:r>
      <w:r w:rsidRPr="0069169B">
        <w:rPr>
          <w:sz w:val="16"/>
          <w:szCs w:val="16"/>
        </w:rPr>
        <w:t>llkirjasta</w:t>
      </w:r>
      <w:r w:rsidR="000C3BFC" w:rsidRPr="0069169B">
        <w:rPr>
          <w:sz w:val="16"/>
          <w:szCs w:val="16"/>
        </w:rPr>
        <w:t>da</w:t>
      </w:r>
      <w:r w:rsidRPr="0069169B">
        <w:rPr>
          <w:sz w:val="16"/>
          <w:szCs w:val="16"/>
        </w:rPr>
        <w:t xml:space="preserve"> vaid isik, kellel on vastava asutuse/ettevõtte esindusõigus või </w:t>
      </w:r>
      <w:r w:rsidR="0069169B">
        <w:rPr>
          <w:sz w:val="16"/>
          <w:szCs w:val="16"/>
        </w:rPr>
        <w:t>teda on volit</w:t>
      </w:r>
      <w:r w:rsidR="00767986">
        <w:rPr>
          <w:sz w:val="16"/>
          <w:szCs w:val="16"/>
        </w:rPr>
        <w:t>atud</w:t>
      </w:r>
      <w:r w:rsidR="0069169B">
        <w:rPr>
          <w:sz w:val="16"/>
          <w:szCs w:val="16"/>
        </w:rPr>
        <w:t xml:space="preserve"> taotlust esitama</w:t>
      </w:r>
      <w:r w:rsidRPr="0069169B">
        <w:rPr>
          <w:sz w:val="16"/>
          <w:szCs w:val="16"/>
        </w:rPr>
        <w:t xml:space="preserve">. Kui allkirjastaja on volitatud taotlust esitama, siis esitada volitust tõendav dokument (volikiri, leping vms). </w:t>
      </w:r>
    </w:p>
  </w:footnote>
  <w:footnote w:id="9">
    <w:p w14:paraId="7BA27A89" w14:textId="77777777" w:rsidR="006C2148" w:rsidRPr="006C2148" w:rsidRDefault="006C2148">
      <w:pPr>
        <w:pStyle w:val="FootnoteText"/>
        <w:rPr>
          <w:sz w:val="16"/>
          <w:szCs w:val="16"/>
        </w:rPr>
      </w:pPr>
      <w:r>
        <w:rPr>
          <w:rStyle w:val="FootnoteReference"/>
        </w:rPr>
        <w:footnoteRef/>
      </w:r>
      <w:r>
        <w:t xml:space="preserve"> </w:t>
      </w:r>
      <w:r>
        <w:rPr>
          <w:sz w:val="16"/>
          <w:szCs w:val="16"/>
        </w:rPr>
        <w:t xml:space="preserve">Kui nimetatud lisasid ei ole, siis palume need kustutada.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C44890"/>
    <w:multiLevelType w:val="hybridMultilevel"/>
    <w:tmpl w:val="472CBDC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34B966B0"/>
    <w:multiLevelType w:val="hybridMultilevel"/>
    <w:tmpl w:val="1E7A9F1A"/>
    <w:lvl w:ilvl="0" w:tplc="7B0E5466">
      <w:start w:val="1"/>
      <w:numFmt w:val="bullet"/>
      <w:lvlText w:val="-"/>
      <w:lvlJc w:val="left"/>
      <w:pPr>
        <w:ind w:left="720" w:hanging="360"/>
      </w:pPr>
      <w:rPr>
        <w:rFonts w:ascii="Liberation Serif" w:eastAsia="SimSun" w:hAnsi="Liberation Serif" w:cs="Liberation Serif"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293560917">
    <w:abstractNumId w:val="0"/>
  </w:num>
  <w:num w:numId="2" w16cid:durableId="6827115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103"/>
    <w:rsid w:val="000103CB"/>
    <w:rsid w:val="00025DD0"/>
    <w:rsid w:val="000640FD"/>
    <w:rsid w:val="000643DA"/>
    <w:rsid w:val="00067E3E"/>
    <w:rsid w:val="000949F0"/>
    <w:rsid w:val="000C3BFC"/>
    <w:rsid w:val="000D32F1"/>
    <w:rsid w:val="00115C58"/>
    <w:rsid w:val="00123FD0"/>
    <w:rsid w:val="00137E01"/>
    <w:rsid w:val="0015262F"/>
    <w:rsid w:val="00157B42"/>
    <w:rsid w:val="00176856"/>
    <w:rsid w:val="00192013"/>
    <w:rsid w:val="00192E91"/>
    <w:rsid w:val="001A5442"/>
    <w:rsid w:val="001B3288"/>
    <w:rsid w:val="001B4549"/>
    <w:rsid w:val="00203468"/>
    <w:rsid w:val="00212E40"/>
    <w:rsid w:val="00232EF5"/>
    <w:rsid w:val="00263180"/>
    <w:rsid w:val="002707C8"/>
    <w:rsid w:val="00283A41"/>
    <w:rsid w:val="00284DCD"/>
    <w:rsid w:val="00287597"/>
    <w:rsid w:val="002D1990"/>
    <w:rsid w:val="002E60A2"/>
    <w:rsid w:val="002E7BB7"/>
    <w:rsid w:val="002F60A3"/>
    <w:rsid w:val="00307D93"/>
    <w:rsid w:val="003117E6"/>
    <w:rsid w:val="00316C77"/>
    <w:rsid w:val="00317764"/>
    <w:rsid w:val="0032370A"/>
    <w:rsid w:val="00353EA7"/>
    <w:rsid w:val="00356BB9"/>
    <w:rsid w:val="00363A91"/>
    <w:rsid w:val="003653AB"/>
    <w:rsid w:val="00365EDB"/>
    <w:rsid w:val="003738EF"/>
    <w:rsid w:val="003979E9"/>
    <w:rsid w:val="003F23CC"/>
    <w:rsid w:val="003F2899"/>
    <w:rsid w:val="003F5365"/>
    <w:rsid w:val="0041401E"/>
    <w:rsid w:val="00432536"/>
    <w:rsid w:val="004344A3"/>
    <w:rsid w:val="00464765"/>
    <w:rsid w:val="004648FC"/>
    <w:rsid w:val="004717E2"/>
    <w:rsid w:val="004937A7"/>
    <w:rsid w:val="00496807"/>
    <w:rsid w:val="004E5EE8"/>
    <w:rsid w:val="004F54DE"/>
    <w:rsid w:val="00514B57"/>
    <w:rsid w:val="00517FD7"/>
    <w:rsid w:val="005271B9"/>
    <w:rsid w:val="00534A42"/>
    <w:rsid w:val="00542113"/>
    <w:rsid w:val="0054493D"/>
    <w:rsid w:val="005838C4"/>
    <w:rsid w:val="005960D8"/>
    <w:rsid w:val="005C2EE9"/>
    <w:rsid w:val="005C36F0"/>
    <w:rsid w:val="005D3DC0"/>
    <w:rsid w:val="005E4345"/>
    <w:rsid w:val="00612206"/>
    <w:rsid w:val="00614698"/>
    <w:rsid w:val="00616E36"/>
    <w:rsid w:val="00640E09"/>
    <w:rsid w:val="0064750B"/>
    <w:rsid w:val="006641C3"/>
    <w:rsid w:val="00674D0A"/>
    <w:rsid w:val="0069169B"/>
    <w:rsid w:val="00691D60"/>
    <w:rsid w:val="006A3689"/>
    <w:rsid w:val="006A4F70"/>
    <w:rsid w:val="006B5262"/>
    <w:rsid w:val="006C2148"/>
    <w:rsid w:val="007061A9"/>
    <w:rsid w:val="007119EB"/>
    <w:rsid w:val="00712A87"/>
    <w:rsid w:val="00717AA9"/>
    <w:rsid w:val="00723D5C"/>
    <w:rsid w:val="00734441"/>
    <w:rsid w:val="00740B08"/>
    <w:rsid w:val="007674DF"/>
    <w:rsid w:val="00767986"/>
    <w:rsid w:val="007A0532"/>
    <w:rsid w:val="007C6C0D"/>
    <w:rsid w:val="007D58EE"/>
    <w:rsid w:val="00800B01"/>
    <w:rsid w:val="00802819"/>
    <w:rsid w:val="00804756"/>
    <w:rsid w:val="00806415"/>
    <w:rsid w:val="008161F0"/>
    <w:rsid w:val="008320F8"/>
    <w:rsid w:val="008346E4"/>
    <w:rsid w:val="008346F7"/>
    <w:rsid w:val="008413FD"/>
    <w:rsid w:val="008555A7"/>
    <w:rsid w:val="0087433C"/>
    <w:rsid w:val="00875224"/>
    <w:rsid w:val="008778C2"/>
    <w:rsid w:val="008828BF"/>
    <w:rsid w:val="00882FDB"/>
    <w:rsid w:val="00885C9F"/>
    <w:rsid w:val="00893C85"/>
    <w:rsid w:val="008A7F8A"/>
    <w:rsid w:val="008E0606"/>
    <w:rsid w:val="008E1057"/>
    <w:rsid w:val="008E3833"/>
    <w:rsid w:val="008E68FE"/>
    <w:rsid w:val="008F3119"/>
    <w:rsid w:val="009029C7"/>
    <w:rsid w:val="009044A4"/>
    <w:rsid w:val="00943D74"/>
    <w:rsid w:val="00945536"/>
    <w:rsid w:val="00960A37"/>
    <w:rsid w:val="00996743"/>
    <w:rsid w:val="00996CED"/>
    <w:rsid w:val="009A2AC8"/>
    <w:rsid w:val="009B3710"/>
    <w:rsid w:val="009C1AF6"/>
    <w:rsid w:val="009D206D"/>
    <w:rsid w:val="009F74C9"/>
    <w:rsid w:val="00A01100"/>
    <w:rsid w:val="00A177B7"/>
    <w:rsid w:val="00A33EC9"/>
    <w:rsid w:val="00A34C7E"/>
    <w:rsid w:val="00A448E1"/>
    <w:rsid w:val="00A474BE"/>
    <w:rsid w:val="00A50DA3"/>
    <w:rsid w:val="00A613DB"/>
    <w:rsid w:val="00A97587"/>
    <w:rsid w:val="00A97ABE"/>
    <w:rsid w:val="00AB62C7"/>
    <w:rsid w:val="00AC7B4A"/>
    <w:rsid w:val="00B03F0E"/>
    <w:rsid w:val="00B34316"/>
    <w:rsid w:val="00B4159C"/>
    <w:rsid w:val="00B42AF0"/>
    <w:rsid w:val="00B544D4"/>
    <w:rsid w:val="00B625FA"/>
    <w:rsid w:val="00BB490C"/>
    <w:rsid w:val="00BC4332"/>
    <w:rsid w:val="00BE713B"/>
    <w:rsid w:val="00BF337C"/>
    <w:rsid w:val="00C02EB3"/>
    <w:rsid w:val="00C10394"/>
    <w:rsid w:val="00C11A3B"/>
    <w:rsid w:val="00C157F0"/>
    <w:rsid w:val="00C3527D"/>
    <w:rsid w:val="00C47371"/>
    <w:rsid w:val="00C562C9"/>
    <w:rsid w:val="00C72E62"/>
    <w:rsid w:val="00C806CE"/>
    <w:rsid w:val="00C8677C"/>
    <w:rsid w:val="00CA5566"/>
    <w:rsid w:val="00CB4E7B"/>
    <w:rsid w:val="00CB7371"/>
    <w:rsid w:val="00CC0A20"/>
    <w:rsid w:val="00CF1FBF"/>
    <w:rsid w:val="00CF4304"/>
    <w:rsid w:val="00D12698"/>
    <w:rsid w:val="00D174C8"/>
    <w:rsid w:val="00D26CFA"/>
    <w:rsid w:val="00D26E3F"/>
    <w:rsid w:val="00D35E7A"/>
    <w:rsid w:val="00D53520"/>
    <w:rsid w:val="00D61E12"/>
    <w:rsid w:val="00D71A86"/>
    <w:rsid w:val="00D76103"/>
    <w:rsid w:val="00D76DDA"/>
    <w:rsid w:val="00D830A0"/>
    <w:rsid w:val="00D8354F"/>
    <w:rsid w:val="00DA4EB2"/>
    <w:rsid w:val="00DC5048"/>
    <w:rsid w:val="00DD1A62"/>
    <w:rsid w:val="00DD390E"/>
    <w:rsid w:val="00E001AE"/>
    <w:rsid w:val="00E14F9E"/>
    <w:rsid w:val="00E20D1D"/>
    <w:rsid w:val="00E44C77"/>
    <w:rsid w:val="00E86C3F"/>
    <w:rsid w:val="00E87687"/>
    <w:rsid w:val="00E90F33"/>
    <w:rsid w:val="00EA37EA"/>
    <w:rsid w:val="00EB3183"/>
    <w:rsid w:val="00ED09D5"/>
    <w:rsid w:val="00ED2120"/>
    <w:rsid w:val="00ED2E5F"/>
    <w:rsid w:val="00EF3F1F"/>
    <w:rsid w:val="00F03446"/>
    <w:rsid w:val="00F22B14"/>
    <w:rsid w:val="00F27D21"/>
    <w:rsid w:val="00F32910"/>
    <w:rsid w:val="00F3363B"/>
    <w:rsid w:val="00F40421"/>
    <w:rsid w:val="00F42F5D"/>
    <w:rsid w:val="00F54BEE"/>
    <w:rsid w:val="00F5773C"/>
    <w:rsid w:val="00F67D33"/>
    <w:rsid w:val="00F93A6E"/>
    <w:rsid w:val="00FB0A7F"/>
    <w:rsid w:val="00FB322B"/>
    <w:rsid w:val="00FB7E97"/>
    <w:rsid w:val="00FD0383"/>
    <w:rsid w:val="00FD09BA"/>
    <w:rsid w:val="00FD65C9"/>
    <w:rsid w:val="00FE2D3F"/>
    <w:rsid w:val="176F059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06889"/>
  <w15:docId w15:val="{00A65DF1-C346-4578-9353-B44F83D88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Mangal"/>
        <w:kern w:val="3"/>
        <w:sz w:val="24"/>
        <w:szCs w:val="24"/>
        <w:lang w:val="et-EE"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Heading1">
    <w:name w:val="heading 1"/>
    <w:basedOn w:val="Normal"/>
    <w:next w:val="Normal"/>
    <w:link w:val="Heading1Char"/>
    <w:uiPriority w:val="9"/>
    <w:qFormat/>
    <w:rsid w:val="007674DF"/>
    <w:pPr>
      <w:keepNext/>
      <w:keepLines/>
      <w:spacing w:before="240"/>
      <w:outlineLvl w:val="0"/>
    </w:pPr>
    <w:rPr>
      <w:rFonts w:asciiTheme="majorHAnsi" w:eastAsiaTheme="majorEastAsia" w:hAnsiTheme="majorHAnsi"/>
      <w:color w:val="2E74B5" w:themeColor="accent1" w:themeShade="BF"/>
      <w:sz w:val="32"/>
      <w:szCs w:val="29"/>
    </w:rPr>
  </w:style>
  <w:style w:type="paragraph" w:styleId="Heading3">
    <w:name w:val="heading 3"/>
    <w:basedOn w:val="Normal"/>
    <w:next w:val="Normal"/>
    <w:link w:val="Heading3Char"/>
    <w:uiPriority w:val="9"/>
    <w:semiHidden/>
    <w:unhideWhenUsed/>
    <w:qFormat/>
    <w:rsid w:val="007674DF"/>
    <w:pPr>
      <w:keepNext/>
      <w:keepLines/>
      <w:spacing w:before="40"/>
      <w:outlineLvl w:val="2"/>
    </w:pPr>
    <w:rPr>
      <w:rFonts w:asciiTheme="majorHAnsi" w:eastAsiaTheme="majorEastAsia" w:hAnsiTheme="majorHAnsi"/>
      <w:color w:val="1F4D78" w:themeColor="accent1" w:themeShade="7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ootnote">
    <w:name w:val="Footnote"/>
    <w:basedOn w:val="Standard"/>
    <w:pPr>
      <w:suppressLineNumbers/>
      <w:ind w:left="339" w:hanging="339"/>
    </w:pPr>
    <w:rP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styleId="FootnoteReference">
    <w:name w:val="footnote reference"/>
    <w:basedOn w:val="DefaultParagraphFont"/>
    <w:rPr>
      <w:position w:val="0"/>
      <w:vertAlign w:val="superscript"/>
    </w:rPr>
  </w:style>
  <w:style w:type="table" w:styleId="TableGrid">
    <w:name w:val="Table Grid"/>
    <w:basedOn w:val="TableNormal"/>
    <w:uiPriority w:val="39"/>
    <w:rsid w:val="00414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CED"/>
    <w:rPr>
      <w:sz w:val="16"/>
      <w:szCs w:val="16"/>
    </w:rPr>
  </w:style>
  <w:style w:type="paragraph" w:styleId="CommentText">
    <w:name w:val="annotation text"/>
    <w:basedOn w:val="Normal"/>
    <w:link w:val="CommentTextChar"/>
    <w:uiPriority w:val="99"/>
    <w:unhideWhenUsed/>
    <w:rsid w:val="00996CED"/>
    <w:rPr>
      <w:sz w:val="20"/>
      <w:szCs w:val="18"/>
    </w:rPr>
  </w:style>
  <w:style w:type="character" w:customStyle="1" w:styleId="CommentTextChar">
    <w:name w:val="Comment Text Char"/>
    <w:basedOn w:val="DefaultParagraphFont"/>
    <w:link w:val="CommentText"/>
    <w:uiPriority w:val="99"/>
    <w:rsid w:val="00996CED"/>
    <w:rPr>
      <w:sz w:val="20"/>
      <w:szCs w:val="18"/>
    </w:rPr>
  </w:style>
  <w:style w:type="paragraph" w:styleId="CommentSubject">
    <w:name w:val="annotation subject"/>
    <w:basedOn w:val="CommentText"/>
    <w:next w:val="CommentText"/>
    <w:link w:val="CommentSubjectChar"/>
    <w:uiPriority w:val="99"/>
    <w:semiHidden/>
    <w:unhideWhenUsed/>
    <w:rsid w:val="00996CED"/>
    <w:rPr>
      <w:b/>
      <w:bCs/>
    </w:rPr>
  </w:style>
  <w:style w:type="character" w:customStyle="1" w:styleId="CommentSubjectChar">
    <w:name w:val="Comment Subject Char"/>
    <w:basedOn w:val="CommentTextChar"/>
    <w:link w:val="CommentSubject"/>
    <w:uiPriority w:val="99"/>
    <w:semiHidden/>
    <w:rsid w:val="00996CED"/>
    <w:rPr>
      <w:b/>
      <w:bCs/>
      <w:sz w:val="20"/>
      <w:szCs w:val="18"/>
    </w:rPr>
  </w:style>
  <w:style w:type="paragraph" w:styleId="FootnoteText">
    <w:name w:val="footnote text"/>
    <w:basedOn w:val="Normal"/>
    <w:link w:val="FootnoteTextChar"/>
    <w:uiPriority w:val="99"/>
    <w:semiHidden/>
    <w:unhideWhenUsed/>
    <w:rsid w:val="00ED2120"/>
    <w:rPr>
      <w:sz w:val="20"/>
      <w:szCs w:val="18"/>
    </w:rPr>
  </w:style>
  <w:style w:type="character" w:customStyle="1" w:styleId="FootnoteTextChar">
    <w:name w:val="Footnote Text Char"/>
    <w:basedOn w:val="DefaultParagraphFont"/>
    <w:link w:val="FootnoteText"/>
    <w:uiPriority w:val="99"/>
    <w:semiHidden/>
    <w:rsid w:val="00ED2120"/>
    <w:rPr>
      <w:sz w:val="20"/>
      <w:szCs w:val="18"/>
    </w:rPr>
  </w:style>
  <w:style w:type="character" w:styleId="Hyperlink">
    <w:name w:val="Hyperlink"/>
    <w:basedOn w:val="DefaultParagraphFont"/>
    <w:uiPriority w:val="99"/>
    <w:unhideWhenUsed/>
    <w:rsid w:val="00ED2120"/>
    <w:rPr>
      <w:color w:val="0563C1" w:themeColor="hyperlink"/>
      <w:u w:val="single"/>
    </w:rPr>
  </w:style>
  <w:style w:type="character" w:styleId="UnresolvedMention">
    <w:name w:val="Unresolved Mention"/>
    <w:basedOn w:val="DefaultParagraphFont"/>
    <w:uiPriority w:val="99"/>
    <w:semiHidden/>
    <w:unhideWhenUsed/>
    <w:rsid w:val="00ED2120"/>
    <w:rPr>
      <w:color w:val="605E5C"/>
      <w:shd w:val="clear" w:color="auto" w:fill="E1DFDD"/>
    </w:rPr>
  </w:style>
  <w:style w:type="character" w:customStyle="1" w:styleId="normaltextrun">
    <w:name w:val="normaltextrun"/>
    <w:basedOn w:val="DefaultParagraphFont"/>
    <w:rsid w:val="00A50DA3"/>
  </w:style>
  <w:style w:type="character" w:styleId="FollowedHyperlink">
    <w:name w:val="FollowedHyperlink"/>
    <w:basedOn w:val="DefaultParagraphFont"/>
    <w:uiPriority w:val="99"/>
    <w:semiHidden/>
    <w:unhideWhenUsed/>
    <w:rsid w:val="00D174C8"/>
    <w:rPr>
      <w:color w:val="954F72" w:themeColor="followedHyperlink"/>
      <w:u w:val="single"/>
    </w:rPr>
  </w:style>
  <w:style w:type="character" w:customStyle="1" w:styleId="Heading1Char">
    <w:name w:val="Heading 1 Char"/>
    <w:basedOn w:val="DefaultParagraphFont"/>
    <w:link w:val="Heading1"/>
    <w:uiPriority w:val="9"/>
    <w:rsid w:val="007674DF"/>
    <w:rPr>
      <w:rFonts w:asciiTheme="majorHAnsi" w:eastAsiaTheme="majorEastAsia" w:hAnsiTheme="majorHAnsi"/>
      <w:color w:val="2E74B5" w:themeColor="accent1" w:themeShade="BF"/>
      <w:sz w:val="32"/>
      <w:szCs w:val="29"/>
    </w:rPr>
  </w:style>
  <w:style w:type="character" w:customStyle="1" w:styleId="Heading3Char">
    <w:name w:val="Heading 3 Char"/>
    <w:basedOn w:val="DefaultParagraphFont"/>
    <w:link w:val="Heading3"/>
    <w:uiPriority w:val="9"/>
    <w:semiHidden/>
    <w:rsid w:val="007674DF"/>
    <w:rPr>
      <w:rFonts w:asciiTheme="majorHAnsi" w:eastAsiaTheme="majorEastAsia" w:hAnsiTheme="majorHAnsi"/>
      <w:color w:val="1F4D78" w:themeColor="accent1" w:themeShade="7F"/>
      <w:szCs w:val="21"/>
    </w:rPr>
  </w:style>
  <w:style w:type="paragraph" w:styleId="BalloonText">
    <w:name w:val="Balloon Text"/>
    <w:basedOn w:val="Normal"/>
    <w:link w:val="BalloonTextChar"/>
    <w:uiPriority w:val="99"/>
    <w:semiHidden/>
    <w:unhideWhenUsed/>
    <w:rsid w:val="00A34C7E"/>
    <w:rPr>
      <w:rFonts w:ascii="Segoe UI" w:hAnsi="Segoe UI"/>
      <w:sz w:val="18"/>
      <w:szCs w:val="16"/>
    </w:rPr>
  </w:style>
  <w:style w:type="character" w:customStyle="1" w:styleId="BalloonTextChar">
    <w:name w:val="Balloon Text Char"/>
    <w:basedOn w:val="DefaultParagraphFont"/>
    <w:link w:val="BalloonText"/>
    <w:uiPriority w:val="99"/>
    <w:semiHidden/>
    <w:rsid w:val="00A34C7E"/>
    <w:rPr>
      <w:rFonts w:ascii="Segoe UI" w:hAnsi="Segoe UI"/>
      <w:sz w:val="18"/>
      <w:szCs w:val="16"/>
    </w:rPr>
  </w:style>
  <w:style w:type="paragraph" w:styleId="NormalWeb">
    <w:name w:val="Normal (Web)"/>
    <w:basedOn w:val="Normal"/>
    <w:uiPriority w:val="99"/>
    <w:rsid w:val="00A34C7E"/>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et-EE" w:bidi="ar-SA"/>
    </w:rPr>
  </w:style>
  <w:style w:type="paragraph" w:styleId="Revision">
    <w:name w:val="Revision"/>
    <w:hidden/>
    <w:uiPriority w:val="99"/>
    <w:semiHidden/>
    <w:rsid w:val="00640E09"/>
    <w:pPr>
      <w:widowControl/>
      <w:autoSpaceDN/>
      <w:textAlignment w:val="auto"/>
    </w:pPr>
    <w:rPr>
      <w:szCs w:val="21"/>
    </w:rPr>
  </w:style>
  <w:style w:type="paragraph" w:styleId="ListParagraph">
    <w:name w:val="List Paragraph"/>
    <w:basedOn w:val="Normal"/>
    <w:uiPriority w:val="34"/>
    <w:qFormat/>
    <w:rsid w:val="00025DD0"/>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868082">
      <w:bodyDiv w:val="1"/>
      <w:marLeft w:val="0"/>
      <w:marRight w:val="0"/>
      <w:marTop w:val="0"/>
      <w:marBottom w:val="0"/>
      <w:divBdr>
        <w:top w:val="none" w:sz="0" w:space="0" w:color="auto"/>
        <w:left w:val="none" w:sz="0" w:space="0" w:color="auto"/>
        <w:bottom w:val="none" w:sz="0" w:space="0" w:color="auto"/>
        <w:right w:val="none" w:sz="0" w:space="0" w:color="auto"/>
      </w:divBdr>
    </w:div>
    <w:div w:id="991182796">
      <w:bodyDiv w:val="1"/>
      <w:marLeft w:val="0"/>
      <w:marRight w:val="0"/>
      <w:marTop w:val="0"/>
      <w:marBottom w:val="0"/>
      <w:divBdr>
        <w:top w:val="none" w:sz="0" w:space="0" w:color="auto"/>
        <w:left w:val="none" w:sz="0" w:space="0" w:color="auto"/>
        <w:bottom w:val="none" w:sz="0" w:space="0" w:color="auto"/>
        <w:right w:val="none" w:sz="0" w:space="0" w:color="auto"/>
      </w:divBdr>
    </w:div>
    <w:div w:id="1501651104">
      <w:bodyDiv w:val="1"/>
      <w:marLeft w:val="0"/>
      <w:marRight w:val="0"/>
      <w:marTop w:val="0"/>
      <w:marBottom w:val="0"/>
      <w:divBdr>
        <w:top w:val="none" w:sz="0" w:space="0" w:color="auto"/>
        <w:left w:val="none" w:sz="0" w:space="0" w:color="auto"/>
        <w:bottom w:val="none" w:sz="0" w:space="0" w:color="auto"/>
        <w:right w:val="none" w:sz="0" w:space="0" w:color="auto"/>
      </w:divBdr>
    </w:div>
    <w:div w:id="1612710970">
      <w:bodyDiv w:val="1"/>
      <w:marLeft w:val="0"/>
      <w:marRight w:val="0"/>
      <w:marTop w:val="0"/>
      <w:marBottom w:val="0"/>
      <w:divBdr>
        <w:top w:val="none" w:sz="0" w:space="0" w:color="auto"/>
        <w:left w:val="none" w:sz="0" w:space="0" w:color="auto"/>
        <w:bottom w:val="none" w:sz="0" w:space="0" w:color="auto"/>
        <w:right w:val="none" w:sz="0" w:space="0" w:color="auto"/>
      </w:divBdr>
    </w:div>
    <w:div w:id="1992446048">
      <w:bodyDiv w:val="1"/>
      <w:marLeft w:val="0"/>
      <w:marRight w:val="0"/>
      <w:marTop w:val="0"/>
      <w:marBottom w:val="0"/>
      <w:divBdr>
        <w:top w:val="none" w:sz="0" w:space="0" w:color="auto"/>
        <w:left w:val="none" w:sz="0" w:space="0" w:color="auto"/>
        <w:bottom w:val="none" w:sz="0" w:space="0" w:color="auto"/>
        <w:right w:val="none" w:sz="0" w:space="0" w:color="auto"/>
      </w:divBdr>
    </w:div>
    <w:div w:id="20180727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andmekaitse@ut.ee" TargetMode="Externa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s://www.riigiteataja.ee/akt/122032019012" TargetMode="Externa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riigiteataja.ee/akt/122032019012"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aki.ee/isikuandmed/andmetootlejale/isikuandmete-edastamine-valisriiki" TargetMode="External"/><Relationship Id="rId1" Type="http://schemas.openxmlformats.org/officeDocument/2006/relationships/hyperlink" Target="https://www.aki.ee/isikuandmed/andmetootlejale/isikuandmete-edastamine-valisriiki"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FF97D3498D57F6449579B16D6FBCE5D6" ma:contentTypeVersion="3" ma:contentTypeDescription="Loo uus dokument" ma:contentTypeScope="" ma:versionID="287b0caa53582289e1370083c9abef51">
  <xsd:schema xmlns:xsd="http://www.w3.org/2001/XMLSchema" xmlns:xs="http://www.w3.org/2001/XMLSchema" xmlns:p="http://schemas.microsoft.com/office/2006/metadata/properties" xmlns:ns2="aff8a95a-bdca-4bd1-9f28-df5ebd643b89" xmlns:ns3="d49639b5-72dc-4360-8788-d1b80c5c3b6b" targetNamespace="http://schemas.microsoft.com/office/2006/metadata/properties" ma:root="true" ma:fieldsID="81057435b6f0e7a29a13c4ba5a8219bc" ns2:_="" ns3:_="">
    <xsd:import namespace="aff8a95a-bdca-4bd1-9f28-df5ebd643b89"/>
    <xsd:import namespace="d49639b5-72dc-4360-8788-d1b80c5c3b6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3:Asukoht"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8a95a-bdca-4bd1-9f28-df5ebd643b89"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Ühiskasutuse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Ühiskasutusse andmise üksikasjad"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9639b5-72dc-4360-8788-d1b80c5c3b6b" elementFormDefault="qualified">
    <xsd:import namespace="http://schemas.microsoft.com/office/2006/documentManagement/types"/>
    <xsd:import namespace="http://schemas.microsoft.com/office/infopath/2007/PartnerControls"/>
    <xsd:element name="Asukoht" ma:index="12" nillable="true" ma:displayName="Asukoht" ma:format="Hyperlink" ma:internalName="Asukoht">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aff8a95a-bdca-4bd1-9f28-df5ebd643b89">HXU5DPSK444F-821440110-544</_dlc_DocId>
    <_dlc_DocIdUrl xmlns="aff8a95a-bdca-4bd1-9f28-df5ebd643b89">
      <Url>https://kontor.rik.ee/aki/_layouts/15/DocIdRedir.aspx?ID=HXU5DPSK444F-821440110-544</Url>
      <Description>HXU5DPSK444F-821440110-544</Description>
    </_dlc_DocIdUrl>
    <Asukoht xmlns="d49639b5-72dc-4360-8788-d1b80c5c3b6b">
      <Url xsi:nil="true"/>
      <Description xsi:nil="true"/>
    </Asukoht>
  </documentManagement>
</p:properties>
</file>

<file path=customXml/itemProps1.xml><?xml version="1.0" encoding="utf-8"?>
<ds:datastoreItem xmlns:ds="http://schemas.openxmlformats.org/officeDocument/2006/customXml" ds:itemID="{88CD27BF-AAF0-46D2-8C49-8F8E39DF0FA0}">
  <ds:schemaRefs>
    <ds:schemaRef ds:uri="http://schemas.microsoft.com/sharepoint/v3/contenttype/forms"/>
  </ds:schemaRefs>
</ds:datastoreItem>
</file>

<file path=customXml/itemProps2.xml><?xml version="1.0" encoding="utf-8"?>
<ds:datastoreItem xmlns:ds="http://schemas.openxmlformats.org/officeDocument/2006/customXml" ds:itemID="{30B84FF6-C211-4151-B871-B5849D864C12}">
  <ds:schemaRefs>
    <ds:schemaRef ds:uri="http://schemas.microsoft.com/sharepoint/events"/>
  </ds:schemaRefs>
</ds:datastoreItem>
</file>

<file path=customXml/itemProps3.xml><?xml version="1.0" encoding="utf-8"?>
<ds:datastoreItem xmlns:ds="http://schemas.openxmlformats.org/officeDocument/2006/customXml" ds:itemID="{24B64269-C62C-4B5E-870A-6CDED0B4B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8a95a-bdca-4bd1-9f28-df5ebd643b89"/>
    <ds:schemaRef ds:uri="d49639b5-72dc-4360-8788-d1b80c5c3b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8C5743-58D3-4C25-B11D-44B644BC3F9F}">
  <ds:schemaRefs>
    <ds:schemaRef ds:uri="http://schemas.openxmlformats.org/officeDocument/2006/bibliography"/>
  </ds:schemaRefs>
</ds:datastoreItem>
</file>

<file path=customXml/itemProps5.xml><?xml version="1.0" encoding="utf-8"?>
<ds:datastoreItem xmlns:ds="http://schemas.openxmlformats.org/officeDocument/2006/customXml" ds:itemID="{F7D16B9E-E5A7-4AD0-8043-7A617344DDFE}">
  <ds:schemaRefs>
    <ds:schemaRef ds:uri="http://schemas.microsoft.com/office/2006/metadata/properties"/>
    <ds:schemaRef ds:uri="http://schemas.microsoft.com/office/infopath/2007/PartnerControls"/>
    <ds:schemaRef ds:uri="aff8a95a-bdca-4bd1-9f28-df5ebd643b89"/>
    <ds:schemaRef ds:uri="d49639b5-72dc-4360-8788-d1b80c5c3b6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1922</Words>
  <Characters>11149</Characters>
  <Application>Microsoft Office Word</Application>
  <DocSecurity>0</DocSecurity>
  <Lines>92</Lines>
  <Paragraphs>26</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Justiitsministeerium</Company>
  <LinksUpToDate>false</LinksUpToDate>
  <CharactersWithSpaces>13045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Liisa Ojangu</dc:creator>
  <cp:keywords/>
  <dc:description/>
  <cp:lastModifiedBy>Marek Maasikmets</cp:lastModifiedBy>
  <cp:revision>2</cp:revision>
  <cp:lastPrinted>2024-02-21T11:46:00Z</cp:lastPrinted>
  <dcterms:created xsi:type="dcterms:W3CDTF">2025-02-27T11:16:00Z</dcterms:created>
  <dcterms:modified xsi:type="dcterms:W3CDTF">2025-02-27T11:16:00Z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0x010100FF97D3498D57F6449579B16D6FBCE5D6</vt:lpwstr>
  </property>
  <property fmtid="{D5CDD505-2E9C-101B-9397-08002B2CF9AE}" pid="3" name="_dlc_DocIdItemGuid">
    <vt:lpwstr>2e9d784c-a719-4d87-9365-c25f39a7f647</vt:lpwstr>
  </property>
  <property fmtid="{D5CDD505-2E9C-101B-9397-08002B2CF9AE}" pid="4" name="MSIP_Label_defa4170-0d19-0005-0004-bc88714345d2_Enabled">
    <vt:lpwstr>true</vt:lpwstr>
  </property>
  <property fmtid="{D5CDD505-2E9C-101B-9397-08002B2CF9AE}" pid="5" name="MSIP_Label_defa4170-0d19-0005-0004-bc88714345d2_SetDate">
    <vt:lpwstr>2024-09-02T10:37:49Z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8fe098d2-428d-4bd4-9803-7195fe96f0e2</vt:lpwstr>
  </property>
  <property fmtid="{D5CDD505-2E9C-101B-9397-08002B2CF9AE}" pid="9" name="MSIP_Label_defa4170-0d19-0005-0004-bc88714345d2_ActionId">
    <vt:lpwstr>be58236e-9f92-476c-b2e8-d2e2acc1cc6d</vt:lpwstr>
  </property>
  <property fmtid="{D5CDD505-2E9C-101B-9397-08002B2CF9AE}" pid="10" name="MSIP_Label_defa4170-0d19-0005-0004-bc88714345d2_ContentBits">
    <vt:lpwstr>0</vt:lpwstr>
  </property>
</Properties>
</file>